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F406D6" w:rsidRDefault="006544C4" w:rsidP="00F406D6">
      <w:pPr>
        <w:ind w:right="-1856"/>
        <w:jc w:val="center"/>
        <w:rPr>
          <w:lang w:val="fr-FR"/>
        </w:rPr>
      </w:pPr>
      <w:bookmarkStart w:id="0" w:name="_GoBack"/>
      <w:bookmarkEnd w:id="0"/>
    </w:p>
    <w:p w:rsidR="0094178F" w:rsidRPr="00F406D6" w:rsidRDefault="0094178F" w:rsidP="00F406D6">
      <w:pPr>
        <w:jc w:val="center"/>
        <w:rPr>
          <w:sz w:val="4"/>
          <w:szCs w:val="4"/>
          <w:lang w:val="fr-FR"/>
        </w:rPr>
      </w:pPr>
    </w:p>
    <w:p w:rsidR="006544C4" w:rsidRPr="00F406D6" w:rsidRDefault="003F0E07" w:rsidP="00F406D6">
      <w:pPr>
        <w:pStyle w:val="DecHTitle"/>
        <w:rPr>
          <w:lang w:val="fr-FR"/>
        </w:rPr>
      </w:pPr>
      <w:r w:rsidRPr="00F406D6">
        <w:rPr>
          <w:szCs w:val="24"/>
          <w:lang w:val="fr-FR"/>
        </w:rPr>
        <w:t>PREMIÈRE SECTION</w:t>
      </w:r>
    </w:p>
    <w:p w:rsidR="006544C4" w:rsidRPr="00F406D6" w:rsidRDefault="006544C4" w:rsidP="00F406D6">
      <w:pPr>
        <w:pStyle w:val="DecHTitle"/>
        <w:rPr>
          <w:caps/>
          <w:sz w:val="32"/>
          <w:lang w:val="fr-FR"/>
        </w:rPr>
      </w:pPr>
      <w:r w:rsidRPr="00F406D6">
        <w:rPr>
          <w:lang w:val="fr-FR"/>
        </w:rPr>
        <w:t>DÉCISION</w:t>
      </w:r>
    </w:p>
    <w:p w:rsidR="006544C4" w:rsidRPr="00F406D6" w:rsidRDefault="003F0E07" w:rsidP="00F406D6">
      <w:pPr>
        <w:pStyle w:val="ECHRTitleCentre2"/>
        <w:rPr>
          <w:lang w:val="fr-FR"/>
        </w:rPr>
      </w:pPr>
      <w:r w:rsidRPr="00F406D6">
        <w:rPr>
          <w:lang w:val="fr-FR"/>
        </w:rPr>
        <w:t>Requête n</w:t>
      </w:r>
      <w:r w:rsidRPr="00F406D6">
        <w:rPr>
          <w:vertAlign w:val="superscript"/>
          <w:lang w:val="fr-FR"/>
        </w:rPr>
        <w:t>o</w:t>
      </w:r>
      <w:r w:rsidR="006544C4" w:rsidRPr="00F406D6">
        <w:rPr>
          <w:lang w:val="fr-FR"/>
        </w:rPr>
        <w:t xml:space="preserve"> </w:t>
      </w:r>
      <w:r w:rsidRPr="00F406D6">
        <w:rPr>
          <w:lang w:val="fr-FR"/>
        </w:rPr>
        <w:t>8740/09</w:t>
      </w:r>
      <w:r w:rsidR="006544C4" w:rsidRPr="00F406D6">
        <w:rPr>
          <w:lang w:val="fr-FR"/>
        </w:rPr>
        <w:br/>
      </w:r>
      <w:r w:rsidRPr="00F406D6">
        <w:rPr>
          <w:lang w:val="fr-FR"/>
        </w:rPr>
        <w:t xml:space="preserve"> APPROVVIGIONAMENTO SALORNO S.A.C. </w:t>
      </w:r>
      <w:r w:rsidR="006544C4" w:rsidRPr="00F406D6">
        <w:rPr>
          <w:lang w:val="fr-FR"/>
        </w:rPr>
        <w:t xml:space="preserve">contre </w:t>
      </w:r>
      <w:r w:rsidRPr="00F406D6">
        <w:rPr>
          <w:lang w:val="fr-FR"/>
        </w:rPr>
        <w:t>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Italie</w:t>
      </w:r>
      <w:r w:rsidRPr="00F406D6">
        <w:rPr>
          <w:lang w:val="fr-FR"/>
        </w:rPr>
        <w:br/>
        <w:t xml:space="preserve">et 6 autres </w:t>
      </w:r>
      <w:proofErr w:type="gramStart"/>
      <w:r w:rsidRPr="00F406D6">
        <w:rPr>
          <w:lang w:val="fr-FR"/>
        </w:rPr>
        <w:t>requêtes</w:t>
      </w:r>
      <w:proofErr w:type="gramEnd"/>
      <w:r w:rsidRPr="00F406D6">
        <w:rPr>
          <w:lang w:val="fr-FR"/>
        </w:rPr>
        <w:br/>
        <w:t>(voir liste en annexe)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La Cour européenne des droits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homme (première section), siégeant le 17 octobre 2017</w:t>
      </w:r>
      <w:r w:rsidR="00B71101" w:rsidRPr="00F406D6">
        <w:rPr>
          <w:lang w:val="fr-FR"/>
        </w:rPr>
        <w:t xml:space="preserve"> </w:t>
      </w:r>
      <w:r w:rsidRPr="00F406D6">
        <w:rPr>
          <w:lang w:val="fr-FR"/>
        </w:rPr>
        <w:t>en un comité composé de :</w:t>
      </w:r>
    </w:p>
    <w:p w:rsidR="003F0E07" w:rsidRPr="00F406D6" w:rsidRDefault="003F0E07" w:rsidP="00F406D6">
      <w:pPr>
        <w:pStyle w:val="ECHRDecisionBody"/>
        <w:rPr>
          <w:lang w:val="fr-FR"/>
        </w:rPr>
      </w:pPr>
      <w:r w:rsidRPr="00F406D6">
        <w:rPr>
          <w:lang w:val="fr-FR"/>
        </w:rPr>
        <w:tab/>
        <w:t xml:space="preserve">Kristina </w:t>
      </w:r>
      <w:proofErr w:type="spellStart"/>
      <w:r w:rsidRPr="00F406D6">
        <w:rPr>
          <w:lang w:val="fr-FR"/>
        </w:rPr>
        <w:t>Pardalos</w:t>
      </w:r>
      <w:proofErr w:type="spellEnd"/>
      <w:r w:rsidRPr="00F406D6">
        <w:rPr>
          <w:lang w:val="fr-FR"/>
        </w:rPr>
        <w:t>,</w:t>
      </w:r>
      <w:r w:rsidRPr="00F406D6">
        <w:rPr>
          <w:i/>
          <w:lang w:val="fr-FR"/>
        </w:rPr>
        <w:t xml:space="preserve"> présidente,</w:t>
      </w:r>
      <w:r w:rsidRPr="00F406D6">
        <w:rPr>
          <w:i/>
          <w:lang w:val="fr-FR"/>
        </w:rPr>
        <w:br/>
      </w:r>
      <w:r w:rsidRPr="00F406D6">
        <w:rPr>
          <w:lang w:val="fr-FR"/>
        </w:rPr>
        <w:tab/>
      </w:r>
      <w:proofErr w:type="spellStart"/>
      <w:r w:rsidRPr="00F406D6">
        <w:rPr>
          <w:lang w:val="fr-FR"/>
        </w:rPr>
        <w:t>Pauliine</w:t>
      </w:r>
      <w:proofErr w:type="spellEnd"/>
      <w:r w:rsidRPr="00F406D6">
        <w:rPr>
          <w:lang w:val="fr-FR"/>
        </w:rPr>
        <w:t xml:space="preserve"> </w:t>
      </w:r>
      <w:proofErr w:type="spellStart"/>
      <w:r w:rsidRPr="00F406D6">
        <w:rPr>
          <w:lang w:val="fr-FR"/>
        </w:rPr>
        <w:t>Koskelo</w:t>
      </w:r>
      <w:proofErr w:type="spellEnd"/>
      <w:r w:rsidRPr="00F406D6">
        <w:rPr>
          <w:lang w:val="fr-FR"/>
        </w:rPr>
        <w:t>,</w:t>
      </w:r>
      <w:r w:rsidRPr="00F406D6">
        <w:rPr>
          <w:i/>
          <w:lang w:val="fr-FR"/>
        </w:rPr>
        <w:br/>
      </w:r>
      <w:r w:rsidRPr="00F406D6">
        <w:rPr>
          <w:lang w:val="fr-FR"/>
        </w:rPr>
        <w:tab/>
        <w:t xml:space="preserve">Tim </w:t>
      </w:r>
      <w:proofErr w:type="spellStart"/>
      <w:r w:rsidRPr="00F406D6">
        <w:rPr>
          <w:lang w:val="fr-FR"/>
        </w:rPr>
        <w:t>Eicke</w:t>
      </w:r>
      <w:proofErr w:type="spellEnd"/>
      <w:r w:rsidRPr="00F406D6">
        <w:rPr>
          <w:lang w:val="fr-FR"/>
        </w:rPr>
        <w:t>,</w:t>
      </w:r>
      <w:r w:rsidRPr="00F406D6">
        <w:rPr>
          <w:i/>
          <w:lang w:val="fr-FR"/>
        </w:rPr>
        <w:t xml:space="preserve"> juges</w:t>
      </w:r>
      <w:proofErr w:type="gramStart"/>
      <w:r w:rsidRPr="00F406D6">
        <w:rPr>
          <w:i/>
          <w:lang w:val="fr-FR"/>
        </w:rPr>
        <w:t>,</w:t>
      </w:r>
      <w:proofErr w:type="gramEnd"/>
      <w:r w:rsidRPr="00F406D6">
        <w:rPr>
          <w:i/>
          <w:lang w:val="fr-FR"/>
        </w:rPr>
        <w:br/>
      </w:r>
      <w:r w:rsidRPr="00F406D6">
        <w:rPr>
          <w:lang w:val="fr-FR"/>
        </w:rPr>
        <w:t xml:space="preserve">et de Renata Degener, </w:t>
      </w:r>
      <w:r w:rsidRPr="00F406D6">
        <w:rPr>
          <w:i/>
          <w:lang w:val="fr-FR"/>
        </w:rPr>
        <w:t>greffière adjointe</w:t>
      </w:r>
      <w:r w:rsidRPr="00F406D6">
        <w:rPr>
          <w:i/>
          <w:iCs/>
          <w:lang w:val="fr-FR"/>
        </w:rPr>
        <w:t xml:space="preserve"> d</w:t>
      </w:r>
      <w:r w:rsidRPr="00F406D6">
        <w:rPr>
          <w:i/>
          <w:lang w:val="fr-FR"/>
        </w:rPr>
        <w:t>e section,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Vu les requêtes susmentionnées introduites aux dates indiquées dans le tableau joint en annexe,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Vu la déclaration déposée par le gouvernement défendeur le 26 mai 2017 et invitant la Cour à rayer les requêtes du rôle, ainsi que la réponse des parties requérantes</w:t>
      </w:r>
      <w:r w:rsidRPr="00F406D6">
        <w:rPr>
          <w:b/>
          <w:szCs w:val="24"/>
          <w:lang w:val="fr-FR"/>
        </w:rPr>
        <w:t xml:space="preserve"> </w:t>
      </w:r>
      <w:r w:rsidRPr="00F406D6">
        <w:rPr>
          <w:lang w:val="fr-FR"/>
        </w:rPr>
        <w:t>à cette déclaration ;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Après en avoir délibéré, rend la décision suivante :</w:t>
      </w:r>
    </w:p>
    <w:p w:rsidR="003F0E07" w:rsidRPr="00F406D6" w:rsidRDefault="003F0E07" w:rsidP="00F406D6">
      <w:pPr>
        <w:pStyle w:val="ECHRTitle1"/>
        <w:rPr>
          <w:lang w:val="fr-FR"/>
        </w:rPr>
      </w:pPr>
      <w:r w:rsidRPr="00F406D6">
        <w:rPr>
          <w:lang w:val="fr-FR"/>
        </w:rPr>
        <w:t>FAITS ET PROCÉDURE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La liste des parties requérantes, représentées par M</w:t>
      </w:r>
      <w:r w:rsidRPr="00F406D6">
        <w:rPr>
          <w:vertAlign w:val="superscript"/>
          <w:lang w:val="fr-FR"/>
        </w:rPr>
        <w:t>es</w:t>
      </w:r>
      <w:r w:rsidRPr="00F406D6">
        <w:rPr>
          <w:lang w:val="fr-FR"/>
        </w:rPr>
        <w:t xml:space="preserve"> A. Mari, A. Marri et C. Salto, avocats respectivement à Rome, Livourne et Sienne, figure en annexe.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Le gouvernement italien (« le Gouvernement ») a été représenté par son agent, M</w:t>
      </w:r>
      <w:r w:rsidRPr="00F406D6">
        <w:rPr>
          <w:vertAlign w:val="superscript"/>
          <w:lang w:val="fr-FR"/>
        </w:rPr>
        <w:t xml:space="preserve">me </w:t>
      </w:r>
      <w:r w:rsidRPr="00F406D6">
        <w:rPr>
          <w:lang w:val="fr-FR"/>
        </w:rPr>
        <w:t xml:space="preserve">E. Spatafora, et par son </w:t>
      </w:r>
      <w:proofErr w:type="spellStart"/>
      <w:r w:rsidRPr="00F406D6">
        <w:rPr>
          <w:lang w:val="fr-FR"/>
        </w:rPr>
        <w:t>coagent</w:t>
      </w:r>
      <w:proofErr w:type="spellEnd"/>
      <w:r w:rsidRPr="00F406D6">
        <w:rPr>
          <w:lang w:val="fr-FR"/>
        </w:rPr>
        <w:t>, M</w:t>
      </w:r>
      <w:r w:rsidRPr="00F406D6">
        <w:rPr>
          <w:vertAlign w:val="superscript"/>
          <w:lang w:val="fr-FR"/>
        </w:rPr>
        <w:t>me</w:t>
      </w:r>
      <w:r w:rsidRPr="00F406D6">
        <w:rPr>
          <w:lang w:val="fr-FR"/>
        </w:rPr>
        <w:t xml:space="preserve"> P. Accardo.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Invoquant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article 6 de la Convention, les requérants alléguaient que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adoption de la loi n</w:t>
      </w:r>
      <w:r w:rsidRPr="00F406D6">
        <w:rPr>
          <w:vertAlign w:val="superscript"/>
          <w:lang w:val="fr-FR"/>
        </w:rPr>
        <w:t>o</w:t>
      </w:r>
      <w:r w:rsidRPr="00F406D6">
        <w:rPr>
          <w:lang w:val="fr-FR"/>
        </w:rPr>
        <w:t xml:space="preserve"> 326 du 2003 avait constitué une ingérence du législateur dans des procédures judiciaires, et ce en violation de leur droit à un procès équitable.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 xml:space="preserve">Les requêtes </w:t>
      </w:r>
      <w:r w:rsidRPr="00F406D6">
        <w:rPr>
          <w:bCs/>
          <w:szCs w:val="24"/>
          <w:lang w:val="fr-FR" w:eastAsia="en-GB"/>
        </w:rPr>
        <w:t>avaient été communiquées</w:t>
      </w:r>
      <w:r w:rsidRPr="00F406D6">
        <w:rPr>
          <w:lang w:val="fr-FR"/>
        </w:rPr>
        <w:t xml:space="preserve"> </w:t>
      </w:r>
      <w:r w:rsidRPr="00F406D6">
        <w:rPr>
          <w:szCs w:val="24"/>
          <w:lang w:val="fr-FR" w:eastAsia="en-GB"/>
        </w:rPr>
        <w:t>a</w:t>
      </w:r>
      <w:r w:rsidRPr="00F406D6">
        <w:rPr>
          <w:color w:val="000000"/>
          <w:szCs w:val="24"/>
          <w:lang w:val="fr-FR" w:eastAsia="en-GB"/>
        </w:rPr>
        <w:t>u Gouvernement</w:t>
      </w:r>
      <w:r w:rsidRPr="00F406D6">
        <w:rPr>
          <w:color w:val="0000FF"/>
          <w:szCs w:val="24"/>
          <w:lang w:val="fr-FR" w:eastAsia="en-GB"/>
        </w:rPr>
        <w:t>.</w:t>
      </w:r>
    </w:p>
    <w:p w:rsidR="003F0E07" w:rsidRPr="00F406D6" w:rsidRDefault="003F0E07" w:rsidP="00F406D6">
      <w:pPr>
        <w:pStyle w:val="ECHRTitle1"/>
        <w:rPr>
          <w:lang w:val="fr-FR"/>
        </w:rPr>
      </w:pPr>
      <w:r w:rsidRPr="00F406D6">
        <w:rPr>
          <w:lang w:val="fr-FR"/>
        </w:rPr>
        <w:lastRenderedPageBreak/>
        <w:t>EN DROIT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 xml:space="preserve">Compte tenu de la similitude des requêtes, la Cour estime </w:t>
      </w:r>
      <w:proofErr w:type="gramStart"/>
      <w:r w:rsidRPr="00F406D6">
        <w:rPr>
          <w:lang w:val="fr-FR"/>
        </w:rPr>
        <w:t>approprié</w:t>
      </w:r>
      <w:proofErr w:type="gramEnd"/>
      <w:r w:rsidRPr="00F406D6">
        <w:rPr>
          <w:lang w:val="fr-FR"/>
        </w:rPr>
        <w:t xml:space="preserve"> de les examiner conjointement en une seule décision.</w:t>
      </w:r>
    </w:p>
    <w:p w:rsidR="003F0E07" w:rsidRPr="00F406D6" w:rsidRDefault="003F0E07" w:rsidP="00F406D6">
      <w:pPr>
        <w:pStyle w:val="ECHRPara"/>
        <w:rPr>
          <w:szCs w:val="24"/>
          <w:lang w:val="fr-FR"/>
        </w:rPr>
      </w:pPr>
      <w:r w:rsidRPr="00F406D6">
        <w:rPr>
          <w:lang w:val="fr-FR"/>
        </w:rPr>
        <w:t>Après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échec des tentatives de règlement amiable, par</w:t>
      </w:r>
      <w:r w:rsidRPr="00F406D6">
        <w:rPr>
          <w:szCs w:val="24"/>
          <w:lang w:val="fr-FR"/>
        </w:rPr>
        <w:t xml:space="preserve"> une lettre du </w:t>
      </w:r>
      <w:r w:rsidRPr="00F406D6">
        <w:rPr>
          <w:lang w:val="fr-FR"/>
        </w:rPr>
        <w:t>26 mai 2017</w:t>
      </w:r>
      <w:r w:rsidRPr="00F406D6">
        <w:rPr>
          <w:szCs w:val="24"/>
          <w:lang w:val="fr-FR"/>
        </w:rPr>
        <w:t xml:space="preserve"> le Gouvernement a informé la Cour qu</w:t>
      </w:r>
      <w:r w:rsidR="00F406D6" w:rsidRPr="00F406D6">
        <w:rPr>
          <w:szCs w:val="24"/>
          <w:lang w:val="fr-FR"/>
        </w:rPr>
        <w:t>’</w:t>
      </w:r>
      <w:r w:rsidRPr="00F406D6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F406D6">
        <w:rPr>
          <w:lang w:val="fr-FR"/>
        </w:rPr>
        <w:t>les requêtes</w:t>
      </w:r>
      <w:r w:rsidRPr="00F406D6">
        <w:rPr>
          <w:szCs w:val="24"/>
          <w:lang w:val="fr-FR"/>
        </w:rPr>
        <w:t>. Il a en outre invité la Cour à rayer celle</w:t>
      </w:r>
      <w:r w:rsidRPr="00F406D6">
        <w:rPr>
          <w:lang w:val="fr-FR"/>
        </w:rPr>
        <w:t>s</w:t>
      </w:r>
      <w:r w:rsidRPr="00F406D6">
        <w:rPr>
          <w:szCs w:val="24"/>
          <w:lang w:val="fr-FR"/>
        </w:rPr>
        <w:t>-ci du rôle en application de l</w:t>
      </w:r>
      <w:r w:rsidR="00F406D6" w:rsidRPr="00F406D6">
        <w:rPr>
          <w:szCs w:val="24"/>
          <w:lang w:val="fr-FR"/>
        </w:rPr>
        <w:t>’</w:t>
      </w:r>
      <w:r w:rsidRPr="00F406D6">
        <w:rPr>
          <w:szCs w:val="24"/>
          <w:lang w:val="fr-FR"/>
        </w:rPr>
        <w:t>article 37 de la Convention.</w:t>
      </w:r>
    </w:p>
    <w:p w:rsidR="003F0E07" w:rsidRPr="00F406D6" w:rsidRDefault="003F0E07" w:rsidP="00F406D6">
      <w:pPr>
        <w:pStyle w:val="ECHRPara"/>
        <w:rPr>
          <w:szCs w:val="24"/>
          <w:lang w:val="fr-FR"/>
        </w:rPr>
      </w:pPr>
      <w:r w:rsidRPr="00F406D6">
        <w:rPr>
          <w:szCs w:val="24"/>
          <w:lang w:val="fr-FR"/>
        </w:rPr>
        <w:t>La déclaration était ainsi libellée :</w:t>
      </w:r>
    </w:p>
    <w:p w:rsidR="003F0E07" w:rsidRPr="00F406D6" w:rsidRDefault="003F0E07" w:rsidP="00F406D6">
      <w:pPr>
        <w:pStyle w:val="ECHRParaQuote"/>
        <w:rPr>
          <w:lang w:val="fr-FR"/>
        </w:rPr>
      </w:pPr>
      <w:r w:rsidRPr="00F406D6">
        <w:rPr>
          <w:lang w:val="fr-FR"/>
        </w:rPr>
        <w:t>« Le Gouvernement italien reconnaît que les requérants indiqués dans le tableau annexe [...] ont subi la violation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article 6 § 1 de la Convention, selon les principes exprimés par la Cour EDH dans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 xml:space="preserve">affaire </w:t>
      </w:r>
      <w:proofErr w:type="spellStart"/>
      <w:r w:rsidRPr="00F406D6">
        <w:rPr>
          <w:i/>
          <w:lang w:val="fr-FR"/>
        </w:rPr>
        <w:t>Azienda</w:t>
      </w:r>
      <w:proofErr w:type="spellEnd"/>
      <w:r w:rsidRPr="00F406D6">
        <w:rPr>
          <w:i/>
          <w:lang w:val="fr-FR"/>
        </w:rPr>
        <w:t xml:space="preserve"> Agricola </w:t>
      </w:r>
      <w:proofErr w:type="spellStart"/>
      <w:r w:rsidRPr="00F406D6">
        <w:rPr>
          <w:i/>
          <w:lang w:val="fr-FR"/>
        </w:rPr>
        <w:t>Silverfunghi</w:t>
      </w:r>
      <w:proofErr w:type="spellEnd"/>
      <w:r w:rsidRPr="00F406D6">
        <w:rPr>
          <w:i/>
          <w:lang w:val="fr-FR"/>
        </w:rPr>
        <w:t xml:space="preserve"> </w:t>
      </w:r>
      <w:proofErr w:type="spellStart"/>
      <w:r w:rsidRPr="00F406D6">
        <w:rPr>
          <w:i/>
          <w:lang w:val="fr-FR"/>
        </w:rPr>
        <w:t>S.a.s</w:t>
      </w:r>
      <w:proofErr w:type="spellEnd"/>
      <w:r w:rsidRPr="00F406D6">
        <w:rPr>
          <w:i/>
          <w:lang w:val="fr-FR"/>
        </w:rPr>
        <w:t>. et autres c. Italie</w:t>
      </w:r>
      <w:r w:rsidRPr="00F406D6">
        <w:rPr>
          <w:lang w:val="fr-FR"/>
        </w:rPr>
        <w:t xml:space="preserve"> (nos 48357/07 et 3 autres, 24 juin 2014), suite à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intervention sur les procédures en cours de la loi n. 326/2003, imposant une interprétation de dispositions précédentes défavorable aux requérants.</w:t>
      </w:r>
    </w:p>
    <w:p w:rsidR="003F0E07" w:rsidRPr="00F406D6" w:rsidRDefault="003F0E07" w:rsidP="00F406D6">
      <w:pPr>
        <w:pStyle w:val="ECHRParaQuote"/>
        <w:rPr>
          <w:lang w:val="fr-FR"/>
        </w:rPr>
      </w:pPr>
      <w:r w:rsidRPr="00F406D6">
        <w:rPr>
          <w:lang w:val="fr-FR"/>
        </w:rPr>
        <w:t>Le Gouvernement, en se conformant à ces principes, offre, pour redresser ladite violation, à chacun des requérants 900 Euros à titre de redressement du dommage moral et les montants indiqués pour chaque position dans le tableau annexé à titre de redressement du dommage matériel (perte de chances) ainsi que des frais et dépens.</w:t>
      </w:r>
    </w:p>
    <w:p w:rsidR="003F0E07" w:rsidRPr="00F406D6" w:rsidRDefault="003F0E07" w:rsidP="00F406D6">
      <w:pPr>
        <w:pStyle w:val="ECHRParaQuote"/>
        <w:rPr>
          <w:lang w:val="fr-FR"/>
        </w:rPr>
      </w:pPr>
      <w:r w:rsidRPr="00F406D6">
        <w:rPr>
          <w:lang w:val="fr-FR"/>
        </w:rPr>
        <w:t>Ces sommes seront payées dans les trois mois suivant la date de la notification de la décision de la Cour rendue conformément à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article 37 § l de la Convention européenne des droits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homme. À défaut de règlement dans ledit délai, le Gouvernement s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engage à verser, à compter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expiration de celui-ci et jusqu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</w:t>
      </w:r>
    </w:p>
    <w:p w:rsidR="003F0E07" w:rsidRPr="00F406D6" w:rsidRDefault="003F0E07" w:rsidP="00F406D6">
      <w:pPr>
        <w:pStyle w:val="ECHRParaQuote"/>
        <w:rPr>
          <w:lang w:val="fr-FR"/>
        </w:rPr>
      </w:pPr>
      <w:r w:rsidRPr="00F406D6">
        <w:rPr>
          <w:lang w:val="fr-FR"/>
        </w:rPr>
        <w:t>Ce versement vaudra règlement définitif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affaire.</w:t>
      </w:r>
    </w:p>
    <w:p w:rsidR="003F0E07" w:rsidRPr="00F406D6" w:rsidRDefault="003F0E07" w:rsidP="00F406D6">
      <w:pPr>
        <w:pStyle w:val="ECHRParaQuote"/>
        <w:rPr>
          <w:lang w:val="fr-FR"/>
        </w:rPr>
      </w:pPr>
      <w:r w:rsidRPr="00F406D6">
        <w:rPr>
          <w:lang w:val="fr-FR"/>
        </w:rPr>
        <w:t>Le Gouvernement estime que ces sommes constituent un redressement adéquat de la violation à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aune de la jurisprudence de la Cour en la matière.</w:t>
      </w:r>
    </w:p>
    <w:p w:rsidR="003F0E07" w:rsidRPr="00F406D6" w:rsidRDefault="003F0E07" w:rsidP="00F406D6">
      <w:pPr>
        <w:pStyle w:val="ECHRParaQuote"/>
        <w:rPr>
          <w:lang w:val="fr-FR"/>
        </w:rPr>
      </w:pPr>
      <w:r w:rsidRPr="00F406D6">
        <w:rPr>
          <w:lang w:val="fr-FR"/>
        </w:rPr>
        <w:t>Le Gouvernement invite respectueusement la Cour à dire qu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il ne se justifie plus de poursuivre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examen des requêtes et de les rayer du rôle conformément à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article 37 de la Convention, car les conditions prévues par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article 62 A du règlement de la Cour sont remplies. »</w:t>
      </w:r>
    </w:p>
    <w:p w:rsidR="003F0E07" w:rsidRPr="00F406D6" w:rsidRDefault="003F0E07" w:rsidP="00F406D6">
      <w:pPr>
        <w:pStyle w:val="ECHRPara"/>
        <w:rPr>
          <w:szCs w:val="24"/>
          <w:lang w:val="fr-FR"/>
        </w:rPr>
      </w:pPr>
      <w:r w:rsidRPr="00F406D6">
        <w:rPr>
          <w:szCs w:val="24"/>
          <w:lang w:val="fr-FR"/>
        </w:rPr>
        <w:t xml:space="preserve">Par une lettre du </w:t>
      </w:r>
      <w:r w:rsidRPr="00F406D6">
        <w:rPr>
          <w:lang w:val="fr-FR"/>
        </w:rPr>
        <w:t>27 juin 2017</w:t>
      </w:r>
      <w:r w:rsidRPr="00F406D6">
        <w:rPr>
          <w:szCs w:val="24"/>
          <w:lang w:val="fr-FR"/>
        </w:rPr>
        <w:t xml:space="preserve">, les parties requérantes </w:t>
      </w:r>
      <w:r w:rsidRPr="00F406D6">
        <w:rPr>
          <w:lang w:val="fr-FR"/>
        </w:rPr>
        <w:t>ont</w:t>
      </w:r>
      <w:r w:rsidRPr="00F406D6">
        <w:rPr>
          <w:szCs w:val="24"/>
          <w:lang w:val="fr-FR"/>
        </w:rPr>
        <w:t xml:space="preserve"> </w:t>
      </w:r>
      <w:r w:rsidRPr="00F406D6">
        <w:rPr>
          <w:lang w:val="fr-FR"/>
        </w:rPr>
        <w:t>indiqué qu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elles n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étaient pas satisfaites des termes de la déclaration unilatérale</w:t>
      </w:r>
      <w:r w:rsidRPr="00F406D6">
        <w:rPr>
          <w:rFonts w:ascii="Arial" w:hAnsi="Arial" w:cs="Arial"/>
          <w:color w:val="0000FF"/>
          <w:sz w:val="20"/>
          <w:lang w:val="fr-FR"/>
        </w:rPr>
        <w:t>.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szCs w:val="24"/>
          <w:lang w:val="fr-FR"/>
        </w:rPr>
        <w:t>La Cour rappelle qu</w:t>
      </w:r>
      <w:r w:rsidR="00F406D6" w:rsidRPr="00F406D6">
        <w:rPr>
          <w:szCs w:val="24"/>
          <w:lang w:val="fr-FR"/>
        </w:rPr>
        <w:t>’</w:t>
      </w:r>
      <w:r w:rsidRPr="00F406D6">
        <w:rPr>
          <w:szCs w:val="24"/>
          <w:lang w:val="fr-FR"/>
        </w:rPr>
        <w:t>en vertu de l</w:t>
      </w:r>
      <w:r w:rsidR="00F406D6" w:rsidRPr="00F406D6">
        <w:rPr>
          <w:szCs w:val="24"/>
          <w:lang w:val="fr-FR"/>
        </w:rPr>
        <w:t>’</w:t>
      </w:r>
      <w:r w:rsidRPr="00F406D6">
        <w:rPr>
          <w:szCs w:val="24"/>
          <w:lang w:val="fr-FR"/>
        </w:rPr>
        <w:t xml:space="preserve">article </w:t>
      </w:r>
      <w:r w:rsidRPr="00F406D6">
        <w:rPr>
          <w:lang w:val="fr-FR"/>
        </w:rPr>
        <w:t>37 de la Convention, à tout moment de la procédure, elle peut décider de rayer une requête du rôle lorsque les circonstances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amènent à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une des conclusions énoncées aux alinéas a), b) ou c) du paragraphe 1 de cet article.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article 37 § 1 c) lui permet en particulier de rayer une affaire du rôle si :</w:t>
      </w:r>
    </w:p>
    <w:p w:rsidR="003F0E07" w:rsidRPr="00F406D6" w:rsidRDefault="003F0E07" w:rsidP="00F406D6">
      <w:pPr>
        <w:pStyle w:val="ECHRParaQuote"/>
        <w:rPr>
          <w:szCs w:val="24"/>
          <w:lang w:val="fr-FR"/>
        </w:rPr>
      </w:pPr>
      <w:r w:rsidRPr="00F406D6">
        <w:rPr>
          <w:lang w:val="fr-FR"/>
        </w:rPr>
        <w:t>« pour tout autre motif dont la Cour constate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existence, il ne se justifie plus de poursuivre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 xml:space="preserve">examen de la </w:t>
      </w:r>
      <w:proofErr w:type="gramStart"/>
      <w:r w:rsidRPr="00F406D6">
        <w:rPr>
          <w:lang w:val="fr-FR"/>
        </w:rPr>
        <w:t>requête  »</w:t>
      </w:r>
      <w:proofErr w:type="gramEnd"/>
      <w:r w:rsidRPr="00F406D6">
        <w:rPr>
          <w:lang w:val="fr-FR"/>
        </w:rPr>
        <w:t>.</w:t>
      </w:r>
    </w:p>
    <w:p w:rsidR="003F0E07" w:rsidRPr="00F406D6" w:rsidRDefault="003F0E07" w:rsidP="00F406D6">
      <w:pPr>
        <w:pStyle w:val="ECHRPara"/>
        <w:rPr>
          <w:szCs w:val="24"/>
          <w:lang w:val="fr-FR"/>
        </w:rPr>
      </w:pPr>
      <w:r w:rsidRPr="00F406D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F406D6" w:rsidRPr="00F406D6">
        <w:rPr>
          <w:szCs w:val="24"/>
          <w:lang w:val="fr-FR"/>
        </w:rPr>
        <w:t>’</w:t>
      </w:r>
      <w:r w:rsidRPr="00F406D6">
        <w:rPr>
          <w:szCs w:val="24"/>
          <w:lang w:val="fr-FR"/>
        </w:rPr>
        <w:t xml:space="preserve">article 37 § 1 c) sur la </w:t>
      </w:r>
      <w:r w:rsidRPr="00F406D6">
        <w:rPr>
          <w:szCs w:val="24"/>
          <w:lang w:val="fr-FR"/>
        </w:rPr>
        <w:lastRenderedPageBreak/>
        <w:t>base d</w:t>
      </w:r>
      <w:r w:rsidR="00F406D6" w:rsidRPr="00F406D6">
        <w:rPr>
          <w:szCs w:val="24"/>
          <w:lang w:val="fr-FR"/>
        </w:rPr>
        <w:t>’</w:t>
      </w:r>
      <w:r w:rsidRPr="00F406D6">
        <w:rPr>
          <w:szCs w:val="24"/>
          <w:lang w:val="fr-FR"/>
        </w:rPr>
        <w:t>une déclaration unilatérale du gouvernement défendeur même si le requérant souhaite que l</w:t>
      </w:r>
      <w:r w:rsidR="00F406D6" w:rsidRPr="00F406D6">
        <w:rPr>
          <w:szCs w:val="24"/>
          <w:lang w:val="fr-FR"/>
        </w:rPr>
        <w:t>’</w:t>
      </w:r>
      <w:r w:rsidRPr="00F406D6">
        <w:rPr>
          <w:szCs w:val="24"/>
          <w:lang w:val="fr-FR"/>
        </w:rPr>
        <w:t>examen de l</w:t>
      </w:r>
      <w:r w:rsidR="00F406D6" w:rsidRPr="00F406D6">
        <w:rPr>
          <w:szCs w:val="24"/>
          <w:lang w:val="fr-FR"/>
        </w:rPr>
        <w:t>’</w:t>
      </w:r>
      <w:r w:rsidRPr="00F406D6">
        <w:rPr>
          <w:szCs w:val="24"/>
          <w:lang w:val="fr-FR"/>
        </w:rPr>
        <w:t>affaire se poursuive.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À</w:t>
      </w:r>
      <w:r w:rsidRPr="00F406D6">
        <w:rPr>
          <w:szCs w:val="24"/>
          <w:lang w:val="fr-FR"/>
        </w:rPr>
        <w:t xml:space="preserve"> cette fin, la Cour a examiné la déclaration à la lumière des principes que consacre sa jurisprudence, en particulier l</w:t>
      </w:r>
      <w:r w:rsidR="00F406D6" w:rsidRPr="00F406D6">
        <w:rPr>
          <w:szCs w:val="24"/>
          <w:lang w:val="fr-FR"/>
        </w:rPr>
        <w:t>’</w:t>
      </w:r>
      <w:r w:rsidRPr="00F406D6">
        <w:rPr>
          <w:szCs w:val="24"/>
          <w:lang w:val="fr-FR"/>
        </w:rPr>
        <w:t xml:space="preserve">arrêt </w:t>
      </w:r>
      <w:proofErr w:type="spellStart"/>
      <w:r w:rsidRPr="00F406D6">
        <w:rPr>
          <w:i/>
          <w:lang w:val="fr-FR"/>
        </w:rPr>
        <w:t>Tahsin</w:t>
      </w:r>
      <w:proofErr w:type="spellEnd"/>
      <w:r w:rsidRPr="00F406D6">
        <w:rPr>
          <w:i/>
          <w:lang w:val="fr-FR"/>
        </w:rPr>
        <w:t xml:space="preserve"> </w:t>
      </w:r>
      <w:proofErr w:type="spellStart"/>
      <w:r w:rsidRPr="00F406D6">
        <w:rPr>
          <w:i/>
          <w:lang w:val="fr-FR"/>
        </w:rPr>
        <w:t>Acar</w:t>
      </w:r>
      <w:proofErr w:type="spellEnd"/>
      <w:r w:rsidRPr="00F406D6">
        <w:rPr>
          <w:i/>
          <w:lang w:val="fr-FR"/>
        </w:rPr>
        <w:t xml:space="preserve"> </w:t>
      </w:r>
      <w:r w:rsidRPr="00F406D6">
        <w:rPr>
          <w:lang w:val="fr-FR"/>
        </w:rPr>
        <w:t>(</w:t>
      </w:r>
      <w:proofErr w:type="spellStart"/>
      <w:r w:rsidRPr="00F406D6">
        <w:rPr>
          <w:i/>
          <w:lang w:val="fr-FR"/>
        </w:rPr>
        <w:t>Tahsin</w:t>
      </w:r>
      <w:proofErr w:type="spellEnd"/>
      <w:r w:rsidRPr="00F406D6">
        <w:rPr>
          <w:i/>
          <w:lang w:val="fr-FR"/>
        </w:rPr>
        <w:t xml:space="preserve"> </w:t>
      </w:r>
      <w:proofErr w:type="spellStart"/>
      <w:r w:rsidRPr="00F406D6">
        <w:rPr>
          <w:i/>
          <w:lang w:val="fr-FR"/>
        </w:rPr>
        <w:t>Acar</w:t>
      </w:r>
      <w:proofErr w:type="spellEnd"/>
      <w:r w:rsidRPr="00F406D6">
        <w:rPr>
          <w:i/>
          <w:lang w:val="fr-FR"/>
        </w:rPr>
        <w:t xml:space="preserve"> c. Turquie</w:t>
      </w:r>
      <w:r w:rsidRPr="00F406D6">
        <w:rPr>
          <w:iCs/>
          <w:lang w:val="fr-FR"/>
        </w:rPr>
        <w:t xml:space="preserve"> (question préliminaire) </w:t>
      </w:r>
      <w:r w:rsidRPr="00F406D6">
        <w:rPr>
          <w:lang w:val="fr-FR"/>
        </w:rPr>
        <w:t>[GC],</w:t>
      </w:r>
      <w:r w:rsidRPr="00F406D6">
        <w:rPr>
          <w:i/>
          <w:lang w:val="fr-FR"/>
        </w:rPr>
        <w:t xml:space="preserve"> </w:t>
      </w:r>
      <w:r w:rsidRPr="00F406D6">
        <w:rPr>
          <w:lang w:val="fr-FR"/>
        </w:rPr>
        <w:t>n</w:t>
      </w:r>
      <w:r w:rsidRPr="00F406D6">
        <w:rPr>
          <w:vertAlign w:val="superscript"/>
          <w:lang w:val="fr-FR"/>
        </w:rPr>
        <w:t xml:space="preserve">o </w:t>
      </w:r>
      <w:r w:rsidRPr="00F406D6">
        <w:rPr>
          <w:lang w:val="fr-FR"/>
        </w:rPr>
        <w:t>26307/95, §§ 75</w:t>
      </w:r>
      <w:r w:rsidRPr="00F406D6">
        <w:rPr>
          <w:lang w:val="fr-FR"/>
        </w:rPr>
        <w:noBreakHyphen/>
        <w:t>77, CEDH 2003</w:t>
      </w:r>
      <w:r w:rsidRPr="00F406D6">
        <w:rPr>
          <w:lang w:val="fr-FR"/>
        </w:rPr>
        <w:noBreakHyphen/>
        <w:t xml:space="preserve">VI, </w:t>
      </w:r>
      <w:r w:rsidRPr="00F406D6">
        <w:rPr>
          <w:i/>
          <w:szCs w:val="24"/>
          <w:lang w:val="fr-FR"/>
        </w:rPr>
        <w:t xml:space="preserve">WAZA </w:t>
      </w:r>
      <w:proofErr w:type="spellStart"/>
      <w:r w:rsidRPr="00F406D6">
        <w:rPr>
          <w:i/>
          <w:iCs/>
          <w:szCs w:val="24"/>
          <w:lang w:val="fr-FR"/>
        </w:rPr>
        <w:t>Sp</w:t>
      </w:r>
      <w:proofErr w:type="spellEnd"/>
      <w:r w:rsidRPr="00F406D6">
        <w:rPr>
          <w:i/>
          <w:iCs/>
          <w:szCs w:val="24"/>
          <w:lang w:val="fr-FR"/>
        </w:rPr>
        <w:t xml:space="preserve">. z </w:t>
      </w:r>
      <w:proofErr w:type="spellStart"/>
      <w:r w:rsidRPr="00F406D6">
        <w:rPr>
          <w:i/>
          <w:iCs/>
          <w:szCs w:val="24"/>
          <w:lang w:val="fr-FR"/>
        </w:rPr>
        <w:t>o.o</w:t>
      </w:r>
      <w:proofErr w:type="spellEnd"/>
      <w:r w:rsidRPr="00F406D6">
        <w:rPr>
          <w:i/>
          <w:iCs/>
          <w:szCs w:val="24"/>
          <w:lang w:val="fr-FR"/>
        </w:rPr>
        <w:t>.</w:t>
      </w:r>
      <w:r w:rsidRPr="00F406D6">
        <w:rPr>
          <w:i/>
          <w:szCs w:val="24"/>
          <w:lang w:val="fr-FR"/>
        </w:rPr>
        <w:t xml:space="preserve"> c. Pologne </w:t>
      </w:r>
      <w:r w:rsidRPr="00F406D6">
        <w:rPr>
          <w:szCs w:val="24"/>
          <w:lang w:val="fr-FR"/>
        </w:rPr>
        <w:t>(déc.), n</w:t>
      </w:r>
      <w:r w:rsidRPr="00F406D6">
        <w:rPr>
          <w:szCs w:val="24"/>
          <w:vertAlign w:val="superscript"/>
          <w:lang w:val="fr-FR"/>
        </w:rPr>
        <w:t>o</w:t>
      </w:r>
      <w:r w:rsidRPr="00F406D6">
        <w:rPr>
          <w:szCs w:val="24"/>
          <w:lang w:val="fr-FR"/>
        </w:rPr>
        <w:t xml:space="preserve"> 11602/02, 26 juin 2007, et </w:t>
      </w:r>
      <w:proofErr w:type="spellStart"/>
      <w:r w:rsidRPr="00F406D6">
        <w:rPr>
          <w:i/>
          <w:szCs w:val="24"/>
          <w:lang w:val="fr-FR"/>
        </w:rPr>
        <w:t>Sulwińska</w:t>
      </w:r>
      <w:proofErr w:type="spellEnd"/>
      <w:r w:rsidRPr="00F406D6">
        <w:rPr>
          <w:i/>
          <w:szCs w:val="24"/>
          <w:lang w:val="fr-FR"/>
        </w:rPr>
        <w:t xml:space="preserve"> c. Pologne</w:t>
      </w:r>
      <w:r w:rsidRPr="00F406D6">
        <w:rPr>
          <w:szCs w:val="24"/>
          <w:lang w:val="fr-FR"/>
        </w:rPr>
        <w:t xml:space="preserve"> (déc.), n</w:t>
      </w:r>
      <w:r w:rsidRPr="00F406D6">
        <w:rPr>
          <w:szCs w:val="24"/>
          <w:vertAlign w:val="superscript"/>
          <w:lang w:val="fr-FR"/>
        </w:rPr>
        <w:t>o</w:t>
      </w:r>
      <w:r w:rsidRPr="00F406D6">
        <w:rPr>
          <w:szCs w:val="24"/>
          <w:lang w:val="fr-FR"/>
        </w:rPr>
        <w:t xml:space="preserve"> 28953/03, 18 septembre 2007</w:t>
      </w:r>
      <w:r w:rsidRPr="00F406D6">
        <w:rPr>
          <w:lang w:val="fr-FR"/>
        </w:rPr>
        <w:t>).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La Cour a établi dans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 xml:space="preserve">affaire </w:t>
      </w:r>
      <w:proofErr w:type="spellStart"/>
      <w:r w:rsidRPr="00F406D6">
        <w:rPr>
          <w:i/>
          <w:lang w:val="fr-FR"/>
        </w:rPr>
        <w:t>Azienda</w:t>
      </w:r>
      <w:proofErr w:type="spellEnd"/>
      <w:r w:rsidRPr="00F406D6">
        <w:rPr>
          <w:i/>
          <w:lang w:val="fr-FR"/>
        </w:rPr>
        <w:t xml:space="preserve"> Agricola </w:t>
      </w:r>
      <w:proofErr w:type="spellStart"/>
      <w:r w:rsidRPr="00F406D6">
        <w:rPr>
          <w:i/>
          <w:lang w:val="fr-FR"/>
        </w:rPr>
        <w:t>Silverfunghi</w:t>
      </w:r>
      <w:proofErr w:type="spellEnd"/>
      <w:r w:rsidRPr="00F406D6">
        <w:rPr>
          <w:i/>
          <w:lang w:val="fr-FR"/>
        </w:rPr>
        <w:t xml:space="preserve"> </w:t>
      </w:r>
      <w:proofErr w:type="spellStart"/>
      <w:r w:rsidRPr="00F406D6">
        <w:rPr>
          <w:i/>
          <w:lang w:val="fr-FR"/>
        </w:rPr>
        <w:t>S.a.s</w:t>
      </w:r>
      <w:proofErr w:type="spellEnd"/>
      <w:r w:rsidRPr="00F406D6">
        <w:rPr>
          <w:i/>
          <w:lang w:val="fr-FR"/>
        </w:rPr>
        <w:t>.</w:t>
      </w:r>
      <w:r w:rsidRPr="00F406D6">
        <w:rPr>
          <w:lang w:val="fr-FR"/>
        </w:rPr>
        <w:t xml:space="preserve"> </w:t>
      </w:r>
      <w:r w:rsidRPr="00F406D6">
        <w:rPr>
          <w:i/>
          <w:lang w:val="fr-FR"/>
        </w:rPr>
        <w:t>et autres c. Italie</w:t>
      </w:r>
      <w:r w:rsidRPr="00F406D6">
        <w:rPr>
          <w:lang w:val="fr-FR"/>
        </w:rPr>
        <w:t xml:space="preserve"> (n</w:t>
      </w:r>
      <w:r w:rsidRPr="00F406D6">
        <w:rPr>
          <w:vertAlign w:val="superscript"/>
          <w:lang w:val="fr-FR"/>
        </w:rPr>
        <w:t>os</w:t>
      </w:r>
      <w:r w:rsidRPr="00F406D6">
        <w:rPr>
          <w:lang w:val="fr-FR"/>
        </w:rPr>
        <w:t xml:space="preserve"> 48357/07 et 3 autres, </w:t>
      </w:r>
      <w:r w:rsidRPr="00F406D6">
        <w:rPr>
          <w:snapToGrid w:val="0"/>
          <w:lang w:val="fr-FR"/>
        </w:rPr>
        <w:t xml:space="preserve">24 </w:t>
      </w:r>
      <w:r w:rsidRPr="00F406D6">
        <w:rPr>
          <w:lang w:val="fr-FR"/>
        </w:rPr>
        <w:t>juin</w:t>
      </w:r>
      <w:r w:rsidRPr="00F406D6">
        <w:rPr>
          <w:snapToGrid w:val="0"/>
          <w:lang w:val="fr-FR"/>
        </w:rPr>
        <w:t xml:space="preserve"> 2014) </w:t>
      </w:r>
      <w:r w:rsidRPr="00F406D6">
        <w:rPr>
          <w:lang w:val="fr-FR"/>
        </w:rPr>
        <w:t>sa pratique en ce qui concerne les griefs tirés de la violation 6 de la Convention en raison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application de la loi d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interprétation authentique n</w:t>
      </w:r>
      <w:r w:rsidRPr="00F406D6">
        <w:rPr>
          <w:vertAlign w:val="superscript"/>
          <w:lang w:val="fr-FR"/>
        </w:rPr>
        <w:t>o</w:t>
      </w:r>
      <w:r w:rsidRPr="00F406D6">
        <w:rPr>
          <w:lang w:val="fr-FR"/>
        </w:rPr>
        <w:t> 326/2003 dans des procédures judiciaires. Eu égard à la nature des concessions que renferme la déclaration du Gouvernement, ainsi qu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au montant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indemnisation proposée – qui est conforme aux montants alloués dans des affaires similaires –, la Cour estime qu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il ne se justifie plus de poursuivre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examen des requêtes (article 37 § 1 c)).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En outre, à la lumière des considérations qui précèdent, la Cour estime que le respect des droits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homme garantis par la Convention et ses Protocoles n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exige pas qu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elle poursuive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 xml:space="preserve">examen des requêtes (article 37 § 1 </w:t>
      </w:r>
      <w:r w:rsidRPr="00F406D6">
        <w:rPr>
          <w:i/>
          <w:iCs/>
          <w:lang w:val="fr-FR"/>
        </w:rPr>
        <w:t>in fine</w:t>
      </w:r>
      <w:r w:rsidRPr="00F406D6">
        <w:rPr>
          <w:lang w:val="fr-FR"/>
        </w:rPr>
        <w:t>).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 xml:space="preserve">Enfin, la Cour souligne que, dans le cas où le Gouvernement ne respecterait pas les termes de sa déclaration unilatérale, les requêtes pourraient être </w:t>
      </w:r>
      <w:proofErr w:type="gramStart"/>
      <w:r w:rsidRPr="00F406D6">
        <w:rPr>
          <w:lang w:val="fr-FR"/>
        </w:rPr>
        <w:t>réinscrite</w:t>
      </w:r>
      <w:proofErr w:type="gramEnd"/>
      <w:r w:rsidRPr="00F406D6">
        <w:rPr>
          <w:lang w:val="fr-FR"/>
        </w:rPr>
        <w:t xml:space="preserve"> au rôle en vertu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article 37 § 2 de la Convention (</w:t>
      </w:r>
      <w:proofErr w:type="spellStart"/>
      <w:r w:rsidRPr="00F406D6">
        <w:rPr>
          <w:i/>
          <w:lang w:val="fr-FR"/>
        </w:rPr>
        <w:t>Josipović</w:t>
      </w:r>
      <w:proofErr w:type="spellEnd"/>
      <w:r w:rsidRPr="00F406D6">
        <w:rPr>
          <w:i/>
          <w:lang w:val="fr-FR"/>
        </w:rPr>
        <w:t xml:space="preserve"> c. Serbie</w:t>
      </w:r>
      <w:r w:rsidRPr="00F406D6">
        <w:rPr>
          <w:lang w:val="fr-FR"/>
        </w:rPr>
        <w:t xml:space="preserve"> (déc.), nº 18369/07, 4 mars 2008).</w:t>
      </w:r>
    </w:p>
    <w:p w:rsidR="003F0E07" w:rsidRPr="00F406D6" w:rsidRDefault="003F0E07" w:rsidP="00F406D6">
      <w:pPr>
        <w:pStyle w:val="ECHRPara"/>
        <w:rPr>
          <w:lang w:val="fr-FR"/>
        </w:rPr>
      </w:pPr>
      <w:r w:rsidRPr="00F406D6">
        <w:rPr>
          <w:lang w:val="fr-FR"/>
        </w:rPr>
        <w:t>En conséquence, il convient de rayer les affaires du rôle.</w:t>
      </w:r>
    </w:p>
    <w:p w:rsidR="003F0E07" w:rsidRPr="00F406D6" w:rsidRDefault="003F0E07" w:rsidP="00F406D6">
      <w:pPr>
        <w:pStyle w:val="JuParaLast"/>
        <w:keepNext w:val="0"/>
        <w:keepLines w:val="0"/>
        <w:rPr>
          <w:lang w:val="fr-FR"/>
        </w:rPr>
      </w:pPr>
      <w:r w:rsidRPr="00F406D6">
        <w:rPr>
          <w:lang w:val="fr-FR"/>
        </w:rPr>
        <w:t>Par ces motifs, la Cour,</w:t>
      </w:r>
      <w:r w:rsidRPr="00F406D6">
        <w:rPr>
          <w:color w:val="000000"/>
          <w:lang w:val="fr-FR"/>
        </w:rPr>
        <w:t xml:space="preserve"> </w:t>
      </w:r>
      <w:r w:rsidRPr="00F406D6">
        <w:rPr>
          <w:lang w:val="fr-FR"/>
        </w:rPr>
        <w:t>à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unanimité,</w:t>
      </w:r>
    </w:p>
    <w:p w:rsidR="003F0E07" w:rsidRPr="00F406D6" w:rsidRDefault="003F0E07" w:rsidP="00F406D6">
      <w:pPr>
        <w:pStyle w:val="DecList"/>
        <w:rPr>
          <w:lang w:val="fr-FR"/>
        </w:rPr>
      </w:pPr>
      <w:r w:rsidRPr="00D45FF7">
        <w:rPr>
          <w:i/>
          <w:lang w:val="fr-FR"/>
        </w:rPr>
        <w:t>Prend acte</w:t>
      </w:r>
      <w:r w:rsidRPr="00F406D6">
        <w:rPr>
          <w:lang w:val="fr-FR"/>
        </w:rPr>
        <w:t xml:space="preserve"> des termes de la déclaration du gouvernement défendeur concernant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article 6 de la Convention et des modalités prévues pour assurer le respect des engagements ainsi pris ;</w:t>
      </w:r>
    </w:p>
    <w:p w:rsidR="003F0E07" w:rsidRPr="00F406D6" w:rsidRDefault="003F0E07" w:rsidP="00F406D6">
      <w:pPr>
        <w:pStyle w:val="JuParaLast"/>
        <w:keepNext w:val="0"/>
        <w:keepLines w:val="0"/>
        <w:rPr>
          <w:lang w:val="fr-FR"/>
        </w:rPr>
      </w:pPr>
      <w:r w:rsidRPr="00F406D6">
        <w:rPr>
          <w:i/>
          <w:lang w:val="fr-FR"/>
        </w:rPr>
        <w:t>Décide</w:t>
      </w:r>
      <w:r w:rsidRPr="00F406D6">
        <w:rPr>
          <w:lang w:val="fr-FR"/>
        </w:rPr>
        <w:t xml:space="preserve"> de joindre les requêtes ;</w:t>
      </w:r>
    </w:p>
    <w:p w:rsidR="003F0E07" w:rsidRPr="00F406D6" w:rsidRDefault="003F0E07" w:rsidP="00F406D6">
      <w:pPr>
        <w:pStyle w:val="DecList"/>
        <w:rPr>
          <w:lang w:val="fr-FR"/>
        </w:rPr>
      </w:pPr>
      <w:r w:rsidRPr="00F406D6">
        <w:rPr>
          <w:i/>
          <w:lang w:val="fr-FR"/>
        </w:rPr>
        <w:t>Décide</w:t>
      </w:r>
      <w:r w:rsidRPr="00F406D6">
        <w:rPr>
          <w:lang w:val="fr-FR"/>
        </w:rPr>
        <w:t xml:space="preserve"> de rayer les requêtes du rôle en application de l</w:t>
      </w:r>
      <w:r w:rsidR="00F406D6" w:rsidRPr="00F406D6">
        <w:rPr>
          <w:lang w:val="fr-FR"/>
        </w:rPr>
        <w:t>’</w:t>
      </w:r>
      <w:r w:rsidRPr="00F406D6">
        <w:rPr>
          <w:lang w:val="fr-FR"/>
        </w:rPr>
        <w:t>article 37 § 1 c) de la Convention.</w:t>
      </w:r>
    </w:p>
    <w:p w:rsidR="006544C4" w:rsidRPr="00F406D6" w:rsidRDefault="006544C4" w:rsidP="00F406D6">
      <w:pPr>
        <w:pStyle w:val="ECHRPara"/>
        <w:rPr>
          <w:sz w:val="2"/>
          <w:szCs w:val="2"/>
          <w:lang w:val="fr-FR" w:eastAsia="en-GB"/>
        </w:rPr>
      </w:pPr>
    </w:p>
    <w:p w:rsidR="00050A32" w:rsidRPr="00F406D6" w:rsidRDefault="00F40988" w:rsidP="00F406D6">
      <w:pPr>
        <w:pStyle w:val="JuParaLast"/>
        <w:rPr>
          <w:lang w:val="fr-FR"/>
        </w:rPr>
      </w:pPr>
      <w:r w:rsidRPr="00F406D6">
        <w:rPr>
          <w:szCs w:val="24"/>
          <w:lang w:val="fr-FR"/>
        </w:rPr>
        <w:t xml:space="preserve">Fait en français puis communiqué par écrit le </w:t>
      </w:r>
      <w:r w:rsidR="003F0E07" w:rsidRPr="00F406D6">
        <w:rPr>
          <w:szCs w:val="24"/>
          <w:lang w:val="fr-FR"/>
        </w:rPr>
        <w:t>16 novembre 2017</w:t>
      </w:r>
      <w:r w:rsidRPr="00F406D6">
        <w:rPr>
          <w:lang w:val="fr-FR"/>
        </w:rPr>
        <w:t>.</w:t>
      </w:r>
    </w:p>
    <w:p w:rsidR="00127B0F" w:rsidRPr="00F406D6" w:rsidRDefault="00050A32" w:rsidP="00F406D6">
      <w:pPr>
        <w:pStyle w:val="JuSigned"/>
        <w:rPr>
          <w:lang w:val="fr-FR"/>
        </w:rPr>
      </w:pPr>
      <w:r w:rsidRPr="00F406D6">
        <w:rPr>
          <w:lang w:val="fr-FR"/>
        </w:rPr>
        <w:tab/>
      </w:r>
      <w:r w:rsidR="003F0E07" w:rsidRPr="00F406D6">
        <w:rPr>
          <w:lang w:val="fr-FR"/>
        </w:rPr>
        <w:t xml:space="preserve">Renata </w:t>
      </w:r>
      <w:proofErr w:type="spellStart"/>
      <w:r w:rsidR="003F0E07" w:rsidRPr="00F406D6">
        <w:rPr>
          <w:lang w:val="fr-FR"/>
        </w:rPr>
        <w:t>Degener</w:t>
      </w:r>
      <w:proofErr w:type="spellEnd"/>
      <w:r w:rsidR="0091478F" w:rsidRPr="00F406D6">
        <w:rPr>
          <w:lang w:val="fr-FR"/>
        </w:rPr>
        <w:tab/>
      </w:r>
      <w:r w:rsidR="003F0E07" w:rsidRPr="00F406D6">
        <w:rPr>
          <w:lang w:val="fr-FR"/>
        </w:rPr>
        <w:t xml:space="preserve">Kristina </w:t>
      </w:r>
      <w:proofErr w:type="spellStart"/>
      <w:r w:rsidR="003F0E07" w:rsidRPr="00F406D6">
        <w:rPr>
          <w:lang w:val="fr-FR"/>
        </w:rPr>
        <w:t>Pardalos</w:t>
      </w:r>
      <w:proofErr w:type="spellEnd"/>
      <w:r w:rsidR="00F406D6" w:rsidRPr="00F406D6">
        <w:rPr>
          <w:lang w:val="fr-FR"/>
        </w:rPr>
        <w:br/>
      </w:r>
      <w:r w:rsidR="003F0E07" w:rsidRPr="00F406D6">
        <w:rPr>
          <w:lang w:val="fr-FR"/>
        </w:rPr>
        <w:t>Greffière adjointe</w:t>
      </w:r>
      <w:r w:rsidR="0091478F" w:rsidRPr="00F406D6">
        <w:rPr>
          <w:lang w:val="fr-FR"/>
        </w:rPr>
        <w:tab/>
      </w:r>
      <w:r w:rsidR="003F0E07" w:rsidRPr="00F406D6">
        <w:rPr>
          <w:lang w:val="fr-FR"/>
        </w:rPr>
        <w:t>Présidente</w:t>
      </w:r>
    </w:p>
    <w:p w:rsidR="009A6E4D" w:rsidRPr="00F406D6" w:rsidRDefault="009A6E4D" w:rsidP="00F406D6">
      <w:pPr>
        <w:pStyle w:val="JuParaLast"/>
        <w:rPr>
          <w:lang w:val="fr-FR"/>
        </w:rPr>
      </w:pPr>
    </w:p>
    <w:p w:rsidR="00127B0F" w:rsidRPr="00F406D6" w:rsidRDefault="00127B0F" w:rsidP="00F406D6">
      <w:pPr>
        <w:pStyle w:val="ECHRPara"/>
        <w:rPr>
          <w:lang w:val="fr-FR"/>
        </w:rPr>
        <w:sectPr w:rsidR="00127B0F" w:rsidRPr="00F406D6" w:rsidSect="009A6E4D">
          <w:headerReference w:type="even" r:id="rId11"/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1985" w:left="2274" w:header="1701" w:footer="720" w:gutter="0"/>
          <w:cols w:space="720"/>
          <w:titlePg/>
          <w:docGrid w:linePitch="326"/>
        </w:sectPr>
      </w:pPr>
    </w:p>
    <w:p w:rsidR="004D15F3" w:rsidRPr="00F406D6" w:rsidRDefault="003F0E07" w:rsidP="00F406D6">
      <w:pPr>
        <w:pStyle w:val="JuTitle"/>
        <w:rPr>
          <w:lang w:val="fr-FR"/>
        </w:rPr>
      </w:pPr>
      <w:r w:rsidRPr="00F406D6">
        <w:rPr>
          <w:lang w:val="fr-FR"/>
        </w:rPr>
        <w:lastRenderedPageBreak/>
        <w:t>ANNEXE</w:t>
      </w:r>
    </w:p>
    <w:p w:rsidR="003F0E07" w:rsidRPr="00F406D6" w:rsidRDefault="003F0E07" w:rsidP="00F406D6">
      <w:pPr>
        <w:pStyle w:val="ECHRPara"/>
        <w:tabs>
          <w:tab w:val="left" w:pos="2410"/>
        </w:tabs>
        <w:rPr>
          <w:lang w:val="fr-FR"/>
        </w:rPr>
      </w:pPr>
    </w:p>
    <w:tbl>
      <w:tblPr>
        <w:tblStyle w:val="ECHRListTable"/>
        <w:tblW w:w="0" w:type="auto"/>
        <w:tblInd w:w="817" w:type="dxa"/>
        <w:tblLook w:val="05E0" w:firstRow="1" w:lastRow="1" w:firstColumn="1" w:lastColumn="1" w:noHBand="0" w:noVBand="1"/>
      </w:tblPr>
      <w:tblGrid>
        <w:gridCol w:w="445"/>
        <w:gridCol w:w="1003"/>
        <w:gridCol w:w="1486"/>
        <w:gridCol w:w="4404"/>
        <w:gridCol w:w="1805"/>
        <w:gridCol w:w="1787"/>
        <w:gridCol w:w="1825"/>
      </w:tblGrid>
      <w:tr w:rsidR="00D8096D" w:rsidRPr="00F406D6" w:rsidTr="00F65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89"/>
        </w:trPr>
        <w:tc>
          <w:tcPr>
            <w:tcW w:w="0" w:type="auto"/>
          </w:tcPr>
          <w:p w:rsidR="003F0E07" w:rsidRPr="00F406D6" w:rsidRDefault="003F0E07" w:rsidP="00F406D6">
            <w:pPr>
              <w:jc w:val="left"/>
              <w:rPr>
                <w:sz w:val="22"/>
                <w:lang w:val="fr-FR"/>
              </w:rPr>
            </w:pPr>
            <w:bookmarkStart w:id="1" w:name="TableStart"/>
            <w:bookmarkEnd w:id="1"/>
            <w:r w:rsidRPr="00F406D6">
              <w:rPr>
                <w:sz w:val="22"/>
                <w:lang w:val="fr-FR"/>
              </w:rPr>
              <w:t>N</w:t>
            </w:r>
            <w:r w:rsidRPr="00F406D6">
              <w:rPr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0" w:type="auto"/>
          </w:tcPr>
          <w:p w:rsidR="00482662" w:rsidRPr="00F406D6" w:rsidRDefault="003F0E07" w:rsidP="00F406D6">
            <w:pPr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Requête</w:t>
            </w:r>
          </w:p>
          <w:p w:rsidR="003F0E07" w:rsidRPr="00F406D6" w:rsidRDefault="003F0E07" w:rsidP="00F406D6">
            <w:pPr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N</w:t>
            </w:r>
            <w:r w:rsidRPr="00F406D6">
              <w:rPr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0" w:type="auto"/>
          </w:tcPr>
          <w:p w:rsidR="00482662" w:rsidRPr="00F406D6" w:rsidRDefault="003F0E07" w:rsidP="00F406D6">
            <w:pPr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Introduite</w:t>
            </w:r>
          </w:p>
          <w:p w:rsidR="003F0E07" w:rsidRPr="00F406D6" w:rsidRDefault="003F0E07" w:rsidP="00F406D6">
            <w:pPr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le</w:t>
            </w:r>
          </w:p>
        </w:tc>
        <w:tc>
          <w:tcPr>
            <w:tcW w:w="4404" w:type="dxa"/>
          </w:tcPr>
          <w:p w:rsidR="003F0E07" w:rsidRPr="00F406D6" w:rsidRDefault="003F0E07" w:rsidP="00F406D6">
            <w:pPr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Partie requérante</w:t>
            </w:r>
          </w:p>
          <w:p w:rsidR="003F0E07" w:rsidRPr="00F406D6" w:rsidRDefault="003F0E07" w:rsidP="00F406D6">
            <w:pPr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Lieu de résidence</w:t>
            </w:r>
          </w:p>
        </w:tc>
        <w:tc>
          <w:tcPr>
            <w:tcW w:w="1805" w:type="dxa"/>
          </w:tcPr>
          <w:p w:rsidR="00F406D6" w:rsidRPr="00F406D6" w:rsidRDefault="003F0E07" w:rsidP="00F406D6">
            <w:pPr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Dommage matériel</w:t>
            </w:r>
          </w:p>
          <w:p w:rsidR="003F0E07" w:rsidRPr="00F406D6" w:rsidRDefault="00482662" w:rsidP="00F406D6">
            <w:pPr>
              <w:tabs>
                <w:tab w:val="left" w:pos="1026"/>
              </w:tabs>
              <w:ind w:right="422"/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(en</w:t>
            </w:r>
            <w:r w:rsidR="00F65EF6" w:rsidRPr="00F406D6">
              <w:rPr>
                <w:sz w:val="22"/>
                <w:lang w:val="fr-FR"/>
              </w:rPr>
              <w:t xml:space="preserve"> </w:t>
            </w:r>
            <w:r w:rsidRPr="00F406D6">
              <w:rPr>
                <w:sz w:val="22"/>
                <w:lang w:val="fr-FR"/>
              </w:rPr>
              <w:t>EU</w:t>
            </w:r>
            <w:r w:rsidR="003F0E07" w:rsidRPr="00F406D6">
              <w:rPr>
                <w:sz w:val="22"/>
                <w:lang w:val="fr-FR"/>
              </w:rPr>
              <w:t>R)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Dommage moral</w:t>
            </w:r>
          </w:p>
          <w:p w:rsidR="003F0E07" w:rsidRPr="00F406D6" w:rsidRDefault="003F0E07" w:rsidP="00F406D6">
            <w:pPr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(en EUR)</w:t>
            </w:r>
          </w:p>
        </w:tc>
        <w:tc>
          <w:tcPr>
            <w:tcW w:w="1825" w:type="dxa"/>
          </w:tcPr>
          <w:p w:rsidR="003F0E07" w:rsidRPr="00F406D6" w:rsidRDefault="00482662" w:rsidP="00F406D6">
            <w:pPr>
              <w:tabs>
                <w:tab w:val="left" w:pos="2131"/>
                <w:tab w:val="left" w:pos="2633"/>
              </w:tabs>
              <w:ind w:right="99"/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 xml:space="preserve">Frais et dépens </w:t>
            </w:r>
            <w:r w:rsidR="00D8096D" w:rsidRPr="00F406D6">
              <w:rPr>
                <w:sz w:val="22"/>
                <w:lang w:val="fr-FR"/>
              </w:rPr>
              <w:t xml:space="preserve">(procédure nationale et devant </w:t>
            </w:r>
            <w:r w:rsidR="003F0E07" w:rsidRPr="00F406D6">
              <w:rPr>
                <w:sz w:val="22"/>
                <w:lang w:val="fr-FR"/>
              </w:rPr>
              <w:t>la Cour)</w:t>
            </w:r>
          </w:p>
          <w:p w:rsidR="003F0E07" w:rsidRPr="00F406D6" w:rsidRDefault="00D8096D" w:rsidP="00F406D6">
            <w:pPr>
              <w:ind w:right="524"/>
              <w:jc w:val="left"/>
              <w:rPr>
                <w:sz w:val="22"/>
                <w:lang w:val="fr-FR"/>
              </w:rPr>
            </w:pPr>
            <w:r w:rsidRPr="00F406D6">
              <w:rPr>
                <w:sz w:val="22"/>
                <w:lang w:val="fr-FR"/>
              </w:rPr>
              <w:t>(en</w:t>
            </w:r>
            <w:r w:rsidR="00F65EF6" w:rsidRPr="00F406D6">
              <w:rPr>
                <w:sz w:val="22"/>
                <w:lang w:val="fr-FR"/>
              </w:rPr>
              <w:t xml:space="preserve"> </w:t>
            </w:r>
            <w:r w:rsidR="003F0E07" w:rsidRPr="00F406D6">
              <w:rPr>
                <w:sz w:val="22"/>
                <w:lang w:val="fr-FR"/>
              </w:rPr>
              <w:t>EUR)</w:t>
            </w:r>
          </w:p>
        </w:tc>
      </w:tr>
      <w:tr w:rsidR="00F65EF6" w:rsidRPr="00F406D6" w:rsidTr="00F65EF6">
        <w:trPr>
          <w:cantSplit/>
        </w:trPr>
        <w:tc>
          <w:tcPr>
            <w:tcW w:w="0" w:type="auto"/>
          </w:tcPr>
          <w:p w:rsidR="003F0E07" w:rsidRPr="00F406D6" w:rsidRDefault="003F0E07" w:rsidP="00F406D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8740/09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ind w:right="176"/>
              <w:jc w:val="left"/>
            </w:pPr>
            <w:r w:rsidRPr="00F406D6">
              <w:t>10/02/2009</w:t>
            </w:r>
          </w:p>
        </w:tc>
        <w:tc>
          <w:tcPr>
            <w:tcW w:w="4404" w:type="dxa"/>
          </w:tcPr>
          <w:p w:rsidR="003F0E07" w:rsidRPr="00F406D6" w:rsidRDefault="003F0E07" w:rsidP="00F406D6">
            <w:pPr>
              <w:ind w:right="-250"/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APPROVVIGIONAMENTO SALORNO S.A.C.</w:t>
            </w:r>
          </w:p>
          <w:p w:rsidR="003F0E07" w:rsidRPr="00F406D6" w:rsidRDefault="003F0E07" w:rsidP="00F406D6">
            <w:pPr>
              <w:jc w:val="left"/>
            </w:pPr>
            <w:proofErr w:type="spellStart"/>
            <w:r w:rsidRPr="00F406D6">
              <w:t>Salorno</w:t>
            </w:r>
            <w:proofErr w:type="spellEnd"/>
            <w:r w:rsidR="009A6E4D" w:rsidRPr="00F406D6">
              <w:t xml:space="preserve"> (BZ)</w:t>
            </w:r>
          </w:p>
        </w:tc>
        <w:tc>
          <w:tcPr>
            <w:tcW w:w="1805" w:type="dxa"/>
          </w:tcPr>
          <w:p w:rsidR="003F0E07" w:rsidRPr="00F406D6" w:rsidRDefault="003F0E07" w:rsidP="00F406D6">
            <w:pPr>
              <w:jc w:val="left"/>
            </w:pPr>
            <w:r w:rsidRPr="00F406D6">
              <w:t>550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900</w:t>
            </w:r>
          </w:p>
        </w:tc>
        <w:tc>
          <w:tcPr>
            <w:tcW w:w="1825" w:type="dxa"/>
          </w:tcPr>
          <w:p w:rsidR="003F0E07" w:rsidRPr="00F406D6" w:rsidRDefault="003F0E07" w:rsidP="00F406D6">
            <w:pPr>
              <w:jc w:val="left"/>
            </w:pPr>
            <w:r w:rsidRPr="00F406D6">
              <w:t>500</w:t>
            </w:r>
          </w:p>
        </w:tc>
      </w:tr>
      <w:tr w:rsidR="00F65EF6" w:rsidRPr="00F406D6" w:rsidTr="00F65EF6">
        <w:trPr>
          <w:cantSplit/>
        </w:trPr>
        <w:tc>
          <w:tcPr>
            <w:tcW w:w="0" w:type="auto"/>
          </w:tcPr>
          <w:p w:rsidR="003F0E07" w:rsidRPr="00F406D6" w:rsidRDefault="003F0E07" w:rsidP="00F406D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8753/09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10/02/2009</w:t>
            </w:r>
          </w:p>
        </w:tc>
        <w:tc>
          <w:tcPr>
            <w:tcW w:w="4404" w:type="dxa"/>
          </w:tcPr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EGMA CALDARO SOCIETA AGRICOLA COOPERATIVA</w:t>
            </w: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r w:rsidRPr="00F406D6">
              <w:rPr>
                <w:lang w:val="it-IT"/>
              </w:rPr>
              <w:t>Caldaro</w:t>
            </w:r>
            <w:r w:rsidR="009A6E4D" w:rsidRPr="00F406D6">
              <w:rPr>
                <w:lang w:val="it-IT"/>
              </w:rPr>
              <w:t xml:space="preserve"> (BZ)</w:t>
            </w:r>
          </w:p>
        </w:tc>
        <w:tc>
          <w:tcPr>
            <w:tcW w:w="1805" w:type="dxa"/>
          </w:tcPr>
          <w:p w:rsidR="003F0E07" w:rsidRPr="00F406D6" w:rsidRDefault="003F0E07" w:rsidP="00F406D6">
            <w:pPr>
              <w:jc w:val="left"/>
            </w:pPr>
            <w:r w:rsidRPr="00F406D6">
              <w:t>27 000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900</w:t>
            </w:r>
          </w:p>
        </w:tc>
        <w:tc>
          <w:tcPr>
            <w:tcW w:w="1825" w:type="dxa"/>
          </w:tcPr>
          <w:p w:rsidR="003F0E07" w:rsidRPr="00F406D6" w:rsidRDefault="003F0E07" w:rsidP="00F406D6">
            <w:pPr>
              <w:jc w:val="left"/>
            </w:pPr>
            <w:r w:rsidRPr="00F406D6">
              <w:t>1 450</w:t>
            </w:r>
          </w:p>
        </w:tc>
      </w:tr>
      <w:tr w:rsidR="00F65EF6" w:rsidRPr="00F406D6" w:rsidTr="00F65EF6">
        <w:trPr>
          <w:cantSplit/>
          <w:trHeight w:val="974"/>
        </w:trPr>
        <w:tc>
          <w:tcPr>
            <w:tcW w:w="0" w:type="auto"/>
          </w:tcPr>
          <w:p w:rsidR="003F0E07" w:rsidRPr="00F406D6" w:rsidRDefault="003F0E07" w:rsidP="00F406D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8761/09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10/02/2009</w:t>
            </w:r>
          </w:p>
        </w:tc>
        <w:tc>
          <w:tcPr>
            <w:tcW w:w="4404" w:type="dxa"/>
          </w:tcPr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FRUTTICOLTORI KURMARK-UNIFRUT S.A.C.</w:t>
            </w:r>
          </w:p>
          <w:p w:rsidR="003F0E07" w:rsidRPr="00F406D6" w:rsidRDefault="003F0E07" w:rsidP="00F406D6">
            <w:pPr>
              <w:jc w:val="left"/>
            </w:pPr>
            <w:proofErr w:type="spellStart"/>
            <w:r w:rsidRPr="00F406D6">
              <w:t>Magrè</w:t>
            </w:r>
            <w:proofErr w:type="spellEnd"/>
            <w:r w:rsidRPr="00F406D6">
              <w:t xml:space="preserve"> (BZ)</w:t>
            </w:r>
          </w:p>
        </w:tc>
        <w:tc>
          <w:tcPr>
            <w:tcW w:w="1805" w:type="dxa"/>
          </w:tcPr>
          <w:p w:rsidR="003F0E07" w:rsidRPr="00F406D6" w:rsidRDefault="003F0E07" w:rsidP="00F406D6">
            <w:pPr>
              <w:jc w:val="left"/>
            </w:pPr>
            <w:r w:rsidRPr="00F406D6">
              <w:t>30 950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900</w:t>
            </w:r>
          </w:p>
        </w:tc>
        <w:tc>
          <w:tcPr>
            <w:tcW w:w="1825" w:type="dxa"/>
          </w:tcPr>
          <w:p w:rsidR="003F0E07" w:rsidRPr="00F406D6" w:rsidRDefault="003F0E07" w:rsidP="00F406D6">
            <w:pPr>
              <w:jc w:val="left"/>
            </w:pPr>
            <w:r w:rsidRPr="00F406D6">
              <w:t>1 450</w:t>
            </w:r>
          </w:p>
        </w:tc>
      </w:tr>
      <w:tr w:rsidR="00F65EF6" w:rsidRPr="00F406D6" w:rsidTr="00F65EF6">
        <w:trPr>
          <w:cantSplit/>
        </w:trPr>
        <w:tc>
          <w:tcPr>
            <w:tcW w:w="0" w:type="auto"/>
          </w:tcPr>
          <w:p w:rsidR="003F0E07" w:rsidRPr="00F406D6" w:rsidRDefault="003F0E07" w:rsidP="00F406D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8763/09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10/02/2009</w:t>
            </w:r>
          </w:p>
        </w:tc>
        <w:tc>
          <w:tcPr>
            <w:tcW w:w="4404" w:type="dxa"/>
          </w:tcPr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FRUTTICOLTORI LANAFRUCHT-OGOL</w:t>
            </w:r>
          </w:p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Società Agricola Cooperativa</w:t>
            </w:r>
          </w:p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</w:p>
          <w:p w:rsidR="003F0E07" w:rsidRPr="00F406D6" w:rsidRDefault="00B71101" w:rsidP="00F406D6">
            <w:pPr>
              <w:jc w:val="left"/>
              <w:rPr>
                <w:lang w:val="it-IT"/>
              </w:rPr>
            </w:pPr>
            <w:proofErr w:type="spellStart"/>
            <w:r w:rsidRPr="00F406D6">
              <w:rPr>
                <w:b/>
                <w:lang w:val="it-IT"/>
              </w:rPr>
              <w:t>Dé</w:t>
            </w:r>
            <w:r w:rsidR="003F0E07" w:rsidRPr="00F406D6">
              <w:rPr>
                <w:b/>
                <w:lang w:val="it-IT"/>
              </w:rPr>
              <w:t>nomination</w:t>
            </w:r>
            <w:proofErr w:type="spellEnd"/>
            <w:r w:rsidR="003F0E07" w:rsidRPr="00F406D6">
              <w:rPr>
                <w:b/>
                <w:lang w:val="it-IT"/>
              </w:rPr>
              <w:t xml:space="preserve"> </w:t>
            </w:r>
            <w:proofErr w:type="spellStart"/>
            <w:r w:rsidR="003F0E07" w:rsidRPr="00F406D6">
              <w:rPr>
                <w:b/>
                <w:lang w:val="it-IT"/>
              </w:rPr>
              <w:t>actuelle</w:t>
            </w:r>
            <w:proofErr w:type="spellEnd"/>
            <w:r w:rsidR="003F0E07" w:rsidRPr="00F406D6">
              <w:rPr>
                <w:lang w:val="it-IT"/>
              </w:rPr>
              <w:t>:</w:t>
            </w: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r w:rsidRPr="00F406D6">
              <w:rPr>
                <w:lang w:val="it-IT"/>
              </w:rPr>
              <w:t>Cooperativa</w:t>
            </w: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r w:rsidRPr="00F406D6">
              <w:rPr>
                <w:lang w:val="it-IT"/>
              </w:rPr>
              <w:t xml:space="preserve">Frutticoltori </w:t>
            </w:r>
            <w:proofErr w:type="spellStart"/>
            <w:r w:rsidRPr="00F406D6">
              <w:rPr>
                <w:lang w:val="it-IT"/>
              </w:rPr>
              <w:t>Lanafruit-Poumus</w:t>
            </w:r>
            <w:proofErr w:type="spellEnd"/>
            <w:r w:rsidRPr="00F406D6">
              <w:rPr>
                <w:lang w:val="it-IT"/>
              </w:rPr>
              <w:t xml:space="preserve"> </w:t>
            </w:r>
            <w:proofErr w:type="spellStart"/>
            <w:r w:rsidRPr="00F406D6">
              <w:rPr>
                <w:lang w:val="it-IT"/>
              </w:rPr>
              <w:t>Lanafrucht</w:t>
            </w:r>
            <w:proofErr w:type="spellEnd"/>
            <w:r w:rsidRPr="00F406D6">
              <w:rPr>
                <w:lang w:val="it-IT"/>
              </w:rPr>
              <w:t xml:space="preserve"> </w:t>
            </w:r>
            <w:proofErr w:type="spellStart"/>
            <w:r w:rsidRPr="00F406D6">
              <w:rPr>
                <w:lang w:val="it-IT"/>
              </w:rPr>
              <w:t>Ogol</w:t>
            </w:r>
            <w:proofErr w:type="spellEnd"/>
            <w:r w:rsidRPr="00F406D6">
              <w:rPr>
                <w:lang w:val="it-IT"/>
              </w:rPr>
              <w:t xml:space="preserve"> Società Agricola</w:t>
            </w:r>
          </w:p>
          <w:p w:rsidR="003F0E07" w:rsidRPr="00F406D6" w:rsidRDefault="003F0E07" w:rsidP="00F406D6">
            <w:pPr>
              <w:jc w:val="left"/>
            </w:pPr>
            <w:r w:rsidRPr="00F406D6">
              <w:t>Lana (BZ)</w:t>
            </w:r>
          </w:p>
        </w:tc>
        <w:tc>
          <w:tcPr>
            <w:tcW w:w="1805" w:type="dxa"/>
          </w:tcPr>
          <w:p w:rsidR="003F0E07" w:rsidRPr="00F406D6" w:rsidRDefault="003F0E07" w:rsidP="00F406D6">
            <w:pPr>
              <w:jc w:val="left"/>
            </w:pPr>
            <w:r w:rsidRPr="00F406D6">
              <w:t>23 550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900</w:t>
            </w:r>
          </w:p>
        </w:tc>
        <w:tc>
          <w:tcPr>
            <w:tcW w:w="1825" w:type="dxa"/>
          </w:tcPr>
          <w:p w:rsidR="003F0E07" w:rsidRPr="00F406D6" w:rsidRDefault="003F0E07" w:rsidP="00F406D6">
            <w:pPr>
              <w:jc w:val="left"/>
            </w:pPr>
            <w:r w:rsidRPr="00F406D6">
              <w:t>2 500</w:t>
            </w:r>
          </w:p>
        </w:tc>
      </w:tr>
      <w:tr w:rsidR="00F65EF6" w:rsidRPr="00F406D6" w:rsidTr="00F65EF6">
        <w:trPr>
          <w:cantSplit/>
        </w:trPr>
        <w:tc>
          <w:tcPr>
            <w:tcW w:w="0" w:type="auto"/>
          </w:tcPr>
          <w:p w:rsidR="003F0E07" w:rsidRPr="00F406D6" w:rsidRDefault="003F0E07" w:rsidP="00F406D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8766/09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10/02/2009</w:t>
            </w:r>
          </w:p>
        </w:tc>
        <w:tc>
          <w:tcPr>
            <w:tcW w:w="4404" w:type="dxa"/>
          </w:tcPr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FRUTTICOLTORI SACRA SOCIETA AGRICOLA COOPERATIVA</w:t>
            </w:r>
          </w:p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proofErr w:type="spellStart"/>
            <w:r w:rsidRPr="00F406D6">
              <w:rPr>
                <w:b/>
                <w:lang w:val="it-IT"/>
              </w:rPr>
              <w:t>D</w:t>
            </w:r>
            <w:r w:rsidR="00B71101" w:rsidRPr="00F406D6">
              <w:rPr>
                <w:b/>
                <w:lang w:val="it-IT"/>
              </w:rPr>
              <w:t>é</w:t>
            </w:r>
            <w:r w:rsidRPr="00F406D6">
              <w:rPr>
                <w:b/>
                <w:lang w:val="it-IT"/>
              </w:rPr>
              <w:t>nomination</w:t>
            </w:r>
            <w:proofErr w:type="spellEnd"/>
            <w:r w:rsidRPr="00F406D6">
              <w:rPr>
                <w:b/>
                <w:lang w:val="it-IT"/>
              </w:rPr>
              <w:t xml:space="preserve"> </w:t>
            </w:r>
            <w:proofErr w:type="spellStart"/>
            <w:r w:rsidRPr="00F406D6">
              <w:rPr>
                <w:b/>
                <w:lang w:val="it-IT"/>
              </w:rPr>
              <w:t>actuelle</w:t>
            </w:r>
            <w:proofErr w:type="spellEnd"/>
            <w:r w:rsidRPr="00F406D6">
              <w:rPr>
                <w:lang w:val="it-IT"/>
              </w:rPr>
              <w:t>:</w:t>
            </w: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proofErr w:type="spellStart"/>
            <w:r w:rsidRPr="00F406D6">
              <w:rPr>
                <w:lang w:val="it-IT"/>
              </w:rPr>
              <w:t>Fruchthof</w:t>
            </w:r>
            <w:proofErr w:type="spellEnd"/>
            <w:r w:rsidRPr="00F406D6">
              <w:rPr>
                <w:lang w:val="it-IT"/>
              </w:rPr>
              <w:t xml:space="preserve"> </w:t>
            </w:r>
            <w:proofErr w:type="spellStart"/>
            <w:r w:rsidRPr="00F406D6">
              <w:rPr>
                <w:lang w:val="it-IT"/>
              </w:rPr>
              <w:t>Ueberetsch</w:t>
            </w:r>
            <w:proofErr w:type="spellEnd"/>
            <w:r w:rsidRPr="00F406D6">
              <w:rPr>
                <w:lang w:val="it-IT"/>
              </w:rPr>
              <w:t xml:space="preserve"> </w:t>
            </w:r>
            <w:proofErr w:type="spellStart"/>
            <w:r w:rsidRPr="00F406D6">
              <w:rPr>
                <w:lang w:val="it-IT"/>
              </w:rPr>
              <w:t>Societa</w:t>
            </w:r>
            <w:proofErr w:type="spellEnd"/>
            <w:r w:rsidRPr="00F406D6">
              <w:rPr>
                <w:lang w:val="it-IT"/>
              </w:rPr>
              <w:t xml:space="preserve"> Agricola Cooperativa</w:t>
            </w: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r w:rsidRPr="00F406D6">
              <w:rPr>
                <w:lang w:val="it-IT"/>
              </w:rPr>
              <w:t>Appiano sulla Strada del Vino (BZ)</w:t>
            </w:r>
          </w:p>
        </w:tc>
        <w:tc>
          <w:tcPr>
            <w:tcW w:w="1805" w:type="dxa"/>
          </w:tcPr>
          <w:p w:rsidR="003F0E07" w:rsidRPr="00F406D6" w:rsidRDefault="003F0E07" w:rsidP="00F406D6">
            <w:pPr>
              <w:jc w:val="left"/>
            </w:pPr>
            <w:r w:rsidRPr="00F406D6">
              <w:t>30 950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900</w:t>
            </w:r>
          </w:p>
        </w:tc>
        <w:tc>
          <w:tcPr>
            <w:tcW w:w="1825" w:type="dxa"/>
          </w:tcPr>
          <w:p w:rsidR="003F0E07" w:rsidRPr="00F406D6" w:rsidRDefault="003F0E07" w:rsidP="00F406D6">
            <w:pPr>
              <w:jc w:val="left"/>
            </w:pPr>
            <w:r w:rsidRPr="00F406D6">
              <w:t>1 450</w:t>
            </w:r>
          </w:p>
        </w:tc>
      </w:tr>
      <w:tr w:rsidR="00F65EF6" w:rsidRPr="00F406D6" w:rsidTr="00F65EF6">
        <w:trPr>
          <w:cantSplit/>
        </w:trPr>
        <w:tc>
          <w:tcPr>
            <w:tcW w:w="0" w:type="auto"/>
          </w:tcPr>
          <w:p w:rsidR="003F0E07" w:rsidRPr="00F406D6" w:rsidRDefault="003F0E07" w:rsidP="00F406D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8772/09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10/02/2009</w:t>
            </w:r>
          </w:p>
        </w:tc>
        <w:tc>
          <w:tcPr>
            <w:tcW w:w="4404" w:type="dxa"/>
          </w:tcPr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FRUTTICOLTORI LANAFRUCHT-OGOL</w:t>
            </w:r>
          </w:p>
          <w:p w:rsidR="003F0E07" w:rsidRPr="00F406D6" w:rsidRDefault="00B71101" w:rsidP="00F406D6">
            <w:pPr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Società</w:t>
            </w:r>
            <w:r w:rsidR="003F0E07" w:rsidRPr="00F406D6">
              <w:rPr>
                <w:b/>
                <w:lang w:val="it-IT"/>
              </w:rPr>
              <w:t xml:space="preserve"> Agricola Cooperativa</w:t>
            </w:r>
          </w:p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</w:p>
          <w:p w:rsidR="003F0E07" w:rsidRPr="00F406D6" w:rsidRDefault="00B71101" w:rsidP="00F406D6">
            <w:pPr>
              <w:jc w:val="left"/>
              <w:rPr>
                <w:b/>
                <w:lang w:val="it-IT"/>
              </w:rPr>
            </w:pPr>
            <w:proofErr w:type="spellStart"/>
            <w:r w:rsidRPr="00F406D6">
              <w:rPr>
                <w:b/>
                <w:lang w:val="it-IT"/>
              </w:rPr>
              <w:t>Dé</w:t>
            </w:r>
            <w:r w:rsidR="003F0E07" w:rsidRPr="00F406D6">
              <w:rPr>
                <w:b/>
                <w:lang w:val="it-IT"/>
              </w:rPr>
              <w:t>nomination</w:t>
            </w:r>
            <w:proofErr w:type="spellEnd"/>
            <w:r w:rsidR="003F0E07" w:rsidRPr="00F406D6">
              <w:rPr>
                <w:b/>
                <w:lang w:val="it-IT"/>
              </w:rPr>
              <w:t xml:space="preserve"> </w:t>
            </w:r>
            <w:proofErr w:type="spellStart"/>
            <w:r w:rsidR="003F0E07" w:rsidRPr="00F406D6">
              <w:rPr>
                <w:b/>
                <w:lang w:val="it-IT"/>
              </w:rPr>
              <w:t>actuelle</w:t>
            </w:r>
            <w:proofErr w:type="spellEnd"/>
            <w:r w:rsidR="003F0E07" w:rsidRPr="00F406D6">
              <w:rPr>
                <w:b/>
                <w:lang w:val="it-IT"/>
              </w:rPr>
              <w:t>:</w:t>
            </w: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r w:rsidRPr="00F406D6">
              <w:rPr>
                <w:lang w:val="it-IT"/>
              </w:rPr>
              <w:t xml:space="preserve">Cooperativa Frutticoltori </w:t>
            </w:r>
            <w:proofErr w:type="spellStart"/>
            <w:r w:rsidRPr="00F406D6">
              <w:rPr>
                <w:lang w:val="it-IT"/>
              </w:rPr>
              <w:t>Lanafruit-Pomus</w:t>
            </w:r>
            <w:proofErr w:type="spellEnd"/>
            <w:r w:rsidRPr="00F406D6">
              <w:rPr>
                <w:lang w:val="it-IT"/>
              </w:rPr>
              <w:t xml:space="preserve"> </w:t>
            </w:r>
            <w:proofErr w:type="spellStart"/>
            <w:r w:rsidRPr="00F406D6">
              <w:rPr>
                <w:lang w:val="it-IT"/>
              </w:rPr>
              <w:t>Lanafrucht</w:t>
            </w:r>
            <w:proofErr w:type="spellEnd"/>
            <w:r w:rsidRPr="00F406D6">
              <w:rPr>
                <w:lang w:val="it-IT"/>
              </w:rPr>
              <w:t xml:space="preserve"> </w:t>
            </w:r>
            <w:proofErr w:type="spellStart"/>
            <w:r w:rsidRPr="00F406D6">
              <w:rPr>
                <w:lang w:val="it-IT"/>
              </w:rPr>
              <w:t>Ogol</w:t>
            </w:r>
            <w:proofErr w:type="spellEnd"/>
            <w:r w:rsidRPr="00F406D6">
              <w:rPr>
                <w:lang w:val="it-IT"/>
              </w:rPr>
              <w:t xml:space="preserve"> </w:t>
            </w:r>
            <w:proofErr w:type="spellStart"/>
            <w:r w:rsidRPr="00F406D6">
              <w:rPr>
                <w:lang w:val="it-IT"/>
              </w:rPr>
              <w:t>Societa</w:t>
            </w:r>
            <w:proofErr w:type="spellEnd"/>
            <w:r w:rsidRPr="00F406D6">
              <w:rPr>
                <w:lang w:val="it-IT"/>
              </w:rPr>
              <w:t xml:space="preserve"> Agricola</w:t>
            </w: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r w:rsidRPr="00F406D6">
              <w:rPr>
                <w:lang w:val="it-IT"/>
              </w:rPr>
              <w:t>Lana (BZ)</w:t>
            </w:r>
          </w:p>
        </w:tc>
        <w:tc>
          <w:tcPr>
            <w:tcW w:w="1805" w:type="dxa"/>
          </w:tcPr>
          <w:p w:rsidR="003F0E07" w:rsidRPr="00F406D6" w:rsidRDefault="003F0E07" w:rsidP="00F406D6">
            <w:pPr>
              <w:jc w:val="left"/>
            </w:pPr>
            <w:r w:rsidRPr="00F406D6">
              <w:t>28 200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900</w:t>
            </w:r>
          </w:p>
        </w:tc>
        <w:tc>
          <w:tcPr>
            <w:tcW w:w="1825" w:type="dxa"/>
          </w:tcPr>
          <w:p w:rsidR="003F0E07" w:rsidRPr="00F406D6" w:rsidRDefault="003F0E07" w:rsidP="00F406D6">
            <w:pPr>
              <w:jc w:val="left"/>
            </w:pPr>
            <w:r w:rsidRPr="00F406D6">
              <w:t>2 500</w:t>
            </w:r>
          </w:p>
        </w:tc>
      </w:tr>
      <w:tr w:rsidR="00F65EF6" w:rsidRPr="00F406D6" w:rsidTr="00F65EF6">
        <w:trPr>
          <w:cantSplit/>
        </w:trPr>
        <w:tc>
          <w:tcPr>
            <w:tcW w:w="0" w:type="auto"/>
          </w:tcPr>
          <w:p w:rsidR="003F0E07" w:rsidRPr="00F406D6" w:rsidRDefault="003F0E07" w:rsidP="00F406D6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8785/09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10/02/2009</w:t>
            </w:r>
          </w:p>
        </w:tc>
        <w:tc>
          <w:tcPr>
            <w:tcW w:w="4404" w:type="dxa"/>
          </w:tcPr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CANTINI VINI MERANO</w:t>
            </w:r>
          </w:p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  <w:r w:rsidRPr="00F406D6">
              <w:rPr>
                <w:b/>
                <w:lang w:val="it-IT"/>
              </w:rPr>
              <w:t>Soci</w:t>
            </w:r>
            <w:r w:rsidR="00B71101" w:rsidRPr="00F406D6">
              <w:rPr>
                <w:b/>
                <w:lang w:val="it-IT"/>
              </w:rPr>
              <w:t>e</w:t>
            </w:r>
            <w:r w:rsidRPr="00F406D6">
              <w:rPr>
                <w:b/>
                <w:lang w:val="it-IT"/>
              </w:rPr>
              <w:t>tà Agricola Cooperativa</w:t>
            </w:r>
          </w:p>
          <w:p w:rsidR="003F0E07" w:rsidRPr="00F406D6" w:rsidRDefault="003F0E07" w:rsidP="00F406D6">
            <w:pPr>
              <w:jc w:val="left"/>
              <w:rPr>
                <w:b/>
                <w:lang w:val="it-IT"/>
              </w:rPr>
            </w:pPr>
          </w:p>
          <w:p w:rsidR="003F0E07" w:rsidRPr="00F406D6" w:rsidRDefault="00B71101" w:rsidP="00F406D6">
            <w:pPr>
              <w:jc w:val="left"/>
              <w:rPr>
                <w:b/>
                <w:lang w:val="it-IT"/>
              </w:rPr>
            </w:pPr>
            <w:proofErr w:type="spellStart"/>
            <w:r w:rsidRPr="00F406D6">
              <w:rPr>
                <w:b/>
                <w:lang w:val="it-IT"/>
              </w:rPr>
              <w:t>Dé</w:t>
            </w:r>
            <w:r w:rsidR="003F0E07" w:rsidRPr="00F406D6">
              <w:rPr>
                <w:b/>
                <w:lang w:val="it-IT"/>
              </w:rPr>
              <w:t>nomination</w:t>
            </w:r>
            <w:proofErr w:type="spellEnd"/>
            <w:r w:rsidR="003F0E07" w:rsidRPr="00F406D6">
              <w:rPr>
                <w:b/>
                <w:lang w:val="it-IT"/>
              </w:rPr>
              <w:t xml:space="preserve"> </w:t>
            </w:r>
            <w:proofErr w:type="spellStart"/>
            <w:r w:rsidR="003F0E07" w:rsidRPr="00F406D6">
              <w:rPr>
                <w:b/>
                <w:lang w:val="it-IT"/>
              </w:rPr>
              <w:t>actuelle</w:t>
            </w:r>
            <w:proofErr w:type="spellEnd"/>
            <w:r w:rsidR="003F0E07" w:rsidRPr="00F406D6">
              <w:rPr>
                <w:b/>
                <w:lang w:val="it-IT"/>
              </w:rPr>
              <w:t>:</w:t>
            </w: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r w:rsidRPr="00F406D6">
              <w:rPr>
                <w:lang w:val="it-IT"/>
              </w:rPr>
              <w:t xml:space="preserve">Cooperativa Produttori Merano </w:t>
            </w:r>
            <w:proofErr w:type="spellStart"/>
            <w:r w:rsidRPr="00F406D6">
              <w:rPr>
                <w:lang w:val="it-IT"/>
              </w:rPr>
              <w:t>Burggraefler</w:t>
            </w:r>
            <w:proofErr w:type="spellEnd"/>
            <w:r w:rsidRPr="00F406D6">
              <w:rPr>
                <w:lang w:val="it-IT"/>
              </w:rPr>
              <w:t xml:space="preserve"> -Coop. </w:t>
            </w:r>
            <w:proofErr w:type="spellStart"/>
            <w:r w:rsidRPr="00F406D6">
              <w:rPr>
                <w:lang w:val="it-IT"/>
              </w:rPr>
              <w:t>Soc</w:t>
            </w:r>
            <w:proofErr w:type="spellEnd"/>
            <w:r w:rsidRPr="00F406D6">
              <w:rPr>
                <w:lang w:val="it-IT"/>
              </w:rPr>
              <w:t>. Agricola</w:t>
            </w:r>
          </w:p>
          <w:p w:rsidR="003F0E07" w:rsidRPr="00F406D6" w:rsidRDefault="003F0E07" w:rsidP="00F406D6">
            <w:pPr>
              <w:jc w:val="left"/>
              <w:rPr>
                <w:lang w:val="it-IT"/>
              </w:rPr>
            </w:pPr>
            <w:r w:rsidRPr="00F406D6">
              <w:rPr>
                <w:lang w:val="it-IT"/>
              </w:rPr>
              <w:t>Marlengo (BZ)</w:t>
            </w:r>
          </w:p>
        </w:tc>
        <w:tc>
          <w:tcPr>
            <w:tcW w:w="1805" w:type="dxa"/>
          </w:tcPr>
          <w:p w:rsidR="003F0E07" w:rsidRPr="00F406D6" w:rsidRDefault="003F0E07" w:rsidP="00F406D6">
            <w:pPr>
              <w:jc w:val="left"/>
            </w:pPr>
            <w:r w:rsidRPr="00F406D6">
              <w:t>13 100</w:t>
            </w:r>
          </w:p>
        </w:tc>
        <w:tc>
          <w:tcPr>
            <w:tcW w:w="0" w:type="auto"/>
          </w:tcPr>
          <w:p w:rsidR="003F0E07" w:rsidRPr="00F406D6" w:rsidRDefault="003F0E07" w:rsidP="00F406D6">
            <w:pPr>
              <w:jc w:val="left"/>
            </w:pPr>
            <w:r w:rsidRPr="00F406D6">
              <w:t>900</w:t>
            </w:r>
          </w:p>
        </w:tc>
        <w:tc>
          <w:tcPr>
            <w:tcW w:w="1825" w:type="dxa"/>
          </w:tcPr>
          <w:p w:rsidR="003F0E07" w:rsidRPr="00F406D6" w:rsidRDefault="003F0E07" w:rsidP="00F406D6">
            <w:pPr>
              <w:jc w:val="left"/>
            </w:pPr>
            <w:r w:rsidRPr="00F406D6">
              <w:t>2 500</w:t>
            </w:r>
          </w:p>
        </w:tc>
      </w:tr>
    </w:tbl>
    <w:p w:rsidR="00234E8A" w:rsidRPr="00F406D6" w:rsidRDefault="00234E8A" w:rsidP="00F406D6">
      <w:pPr>
        <w:rPr>
          <w:lang w:val="fr-FR"/>
        </w:rPr>
      </w:pPr>
    </w:p>
    <w:sectPr w:rsidR="00234E8A" w:rsidRPr="00F406D6" w:rsidSect="00302251">
      <w:headerReference w:type="even" r:id="rId15"/>
      <w:headerReference w:type="default" r:id="rId16"/>
      <w:headerReference w:type="first" r:id="rId17"/>
      <w:footnotePr>
        <w:numRestart w:val="eachPage"/>
      </w:footnotePr>
      <w:pgSz w:w="16838" w:h="11906" w:orient="landscape" w:code="9"/>
      <w:pgMar w:top="1013" w:right="720" w:bottom="720" w:left="720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2F" w:rsidRPr="007A6280" w:rsidRDefault="00222E2F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222E2F" w:rsidRPr="007A6280" w:rsidRDefault="00222E2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07" w:rsidRPr="00150BFA" w:rsidRDefault="003F0E0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83702C6" wp14:editId="317247D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222E2F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2F" w:rsidRPr="007A6280" w:rsidRDefault="00222E2F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222E2F" w:rsidRPr="007A6280" w:rsidRDefault="00222E2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F0E07" w:rsidRDefault="003F0E07" w:rsidP="00482662">
    <w:pPr>
      <w:pStyle w:val="ECHRHeader"/>
      <w:jc w:val="center"/>
      <w:rPr>
        <w:lang w:val="fr-FR"/>
      </w:rPr>
    </w:pPr>
    <w:r>
      <w:rPr>
        <w:rStyle w:val="Numeropagina"/>
      </w:rPr>
      <w:fldChar w:fldCharType="begin"/>
    </w:r>
    <w:r w:rsidRPr="003F0E07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24378A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334EC5" w:rsidRPr="003F0E07">
      <w:rPr>
        <w:lang w:val="fr-FR"/>
      </w:rPr>
      <w:tab/>
    </w:r>
    <w:r>
      <w:rPr>
        <w:lang w:val="fr-FR"/>
      </w:rPr>
      <w:t xml:space="preserve"> </w:t>
    </w:r>
    <w:r w:rsidR="00334EC5" w:rsidRPr="003F0E07">
      <w:rPr>
        <w:lang w:val="fr-FR"/>
      </w:rPr>
      <w:t xml:space="preserve">DÉCISION </w:t>
    </w:r>
    <w:r w:rsidRPr="003F0E07">
      <w:rPr>
        <w:lang w:val="fr-FR"/>
      </w:rPr>
      <w:t>APPROVVIGIONAMENTO SALORNO S.A.C. c. ITALIE</w:t>
    </w:r>
    <w:r w:rsidRPr="003F0E07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65EF6" w:rsidRDefault="00334EC5" w:rsidP="00D8096D">
    <w:pPr>
      <w:pStyle w:val="ECHRHeader"/>
      <w:jc w:val="center"/>
      <w:rPr>
        <w:rStyle w:val="Numeropagina"/>
        <w:lang w:val="fr-FR"/>
      </w:rPr>
    </w:pPr>
    <w:r w:rsidRPr="003F0E07">
      <w:rPr>
        <w:lang w:val="fr-FR"/>
      </w:rPr>
      <w:t xml:space="preserve">DÉCISION </w:t>
    </w:r>
    <w:r w:rsidR="003F0E07" w:rsidRPr="003F0E07">
      <w:rPr>
        <w:lang w:val="fr-FR"/>
      </w:rPr>
      <w:t>APPROVVIGIONAMENTO SALORNO S.A.C. c. ITALIE</w:t>
    </w:r>
    <w:r w:rsidR="003F0E07" w:rsidRPr="003F0E07">
      <w:rPr>
        <w:noProof/>
        <w:lang w:val="fr-FR"/>
      </w:rPr>
      <w:t xml:space="preserve"> ET AUTRES REQUÊTES</w:t>
    </w:r>
    <w:r w:rsidR="00482662">
      <w:rPr>
        <w:noProof/>
        <w:lang w:val="fr-FR"/>
      </w:rPr>
      <w:t xml:space="preserve"> </w:t>
    </w:r>
    <w:r w:rsidR="002456F2">
      <w:rPr>
        <w:noProof/>
        <w:lang w:val="fr-FR"/>
      </w:rPr>
      <w:tab/>
    </w:r>
    <w:r w:rsidR="003F0E07">
      <w:rPr>
        <w:rStyle w:val="Numeropagina"/>
      </w:rPr>
      <w:fldChar w:fldCharType="begin"/>
    </w:r>
    <w:r w:rsidR="003F0E07" w:rsidRPr="003F0E07">
      <w:rPr>
        <w:rStyle w:val="Numeropagina"/>
        <w:lang w:val="fr-FR"/>
      </w:rPr>
      <w:instrText xml:space="preserve"> PAGE </w:instrText>
    </w:r>
    <w:r w:rsidR="003F0E07">
      <w:rPr>
        <w:rStyle w:val="Numeropagina"/>
      </w:rPr>
      <w:fldChar w:fldCharType="separate"/>
    </w:r>
    <w:r w:rsidR="0024378A">
      <w:rPr>
        <w:rStyle w:val="Numeropagina"/>
        <w:noProof/>
        <w:lang w:val="fr-FR"/>
      </w:rPr>
      <w:t>3</w:t>
    </w:r>
    <w:r w:rsidR="003F0E07">
      <w:rPr>
        <w:rStyle w:val="Numeropagina"/>
      </w:rPr>
      <w:fldChar w:fldCharType="end"/>
    </w:r>
  </w:p>
  <w:p w:rsidR="00F65EF6" w:rsidRPr="003F0E07" w:rsidRDefault="00F65EF6" w:rsidP="00D8096D">
    <w:pPr>
      <w:pStyle w:val="ECHRHeader"/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07" w:rsidRPr="00A45145" w:rsidRDefault="003F0E0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6DC162F" wp14:editId="144BBA4E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222E2F" w:rsidP="003146E4">
    <w:pPr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51" w:rsidRPr="003F0E07" w:rsidRDefault="00302251" w:rsidP="00CF0BA8">
    <w:pPr>
      <w:pStyle w:val="ECHRHeader"/>
      <w:tabs>
        <w:tab w:val="clear" w:pos="3686"/>
        <w:tab w:val="center" w:pos="7371"/>
      </w:tabs>
      <w:ind w:left="709"/>
      <w:rPr>
        <w:lang w:val="fr-FR"/>
      </w:rPr>
    </w:pPr>
    <w:r>
      <w:rPr>
        <w:rStyle w:val="Numeropagina"/>
      </w:rPr>
      <w:fldChar w:fldCharType="begin"/>
    </w:r>
    <w:r w:rsidRPr="003F0E07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24378A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3F0E07">
      <w:rPr>
        <w:lang w:val="fr-FR"/>
      </w:rPr>
      <w:tab/>
      <w:t>DÉCISION APPROVVIGIONAMENTO SALORNO S.A.C. c. ITALIE</w:t>
    </w:r>
    <w:r w:rsidRPr="003F0E07">
      <w:rPr>
        <w:noProof/>
        <w:lang w:val="fr-FR"/>
      </w:rPr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51" w:rsidRPr="00B71101" w:rsidRDefault="00302251" w:rsidP="00CF0BA8">
    <w:pPr>
      <w:pStyle w:val="ECHRHeader"/>
      <w:tabs>
        <w:tab w:val="clear" w:pos="3686"/>
        <w:tab w:val="center" w:pos="3402"/>
        <w:tab w:val="left" w:pos="12758"/>
      </w:tabs>
      <w:ind w:right="1648"/>
      <w:jc w:val="center"/>
      <w:rPr>
        <w:rStyle w:val="Numeropagina"/>
        <w:lang w:val="fr-FR"/>
      </w:rPr>
    </w:pPr>
    <w:r>
      <w:rPr>
        <w:lang w:val="fr-FR"/>
      </w:rPr>
      <w:tab/>
    </w:r>
    <w:r>
      <w:rPr>
        <w:lang w:val="fr-FR"/>
      </w:rPr>
      <w:tab/>
    </w:r>
    <w:r w:rsidRPr="003F0E07">
      <w:rPr>
        <w:lang w:val="fr-FR"/>
      </w:rPr>
      <w:t>DÉCISION APPROVVIGIONAMENTO SALORNO S.A.C. c. ITALIE</w:t>
    </w:r>
    <w:r w:rsidRPr="003F0E07">
      <w:rPr>
        <w:noProof/>
        <w:lang w:val="fr-FR"/>
      </w:rPr>
      <w:t xml:space="preserve"> ET AUTRES REQUÊTES</w:t>
    </w:r>
    <w:r>
      <w:rPr>
        <w:noProof/>
        <w:lang w:val="fr-FR"/>
      </w:rPr>
      <w:t xml:space="preserve"> </w:t>
    </w:r>
    <w:r>
      <w:rPr>
        <w:noProof/>
        <w:lang w:val="fr-FR"/>
      </w:rPr>
      <w:tab/>
    </w:r>
    <w:r>
      <w:rPr>
        <w:noProof/>
        <w:lang w:val="fr-FR"/>
      </w:rPr>
      <w:tab/>
    </w:r>
    <w:r>
      <w:rPr>
        <w:rStyle w:val="Numeropagina"/>
      </w:rPr>
      <w:fldChar w:fldCharType="begin"/>
    </w:r>
    <w:r w:rsidRPr="003F0E07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24378A">
      <w:rPr>
        <w:rStyle w:val="Numeropagina"/>
        <w:noProof/>
        <w:lang w:val="fr-FR"/>
      </w:rPr>
      <w:t>5</w:t>
    </w:r>
    <w:r>
      <w:rPr>
        <w:rStyle w:val="Numeropagina"/>
      </w:rPr>
      <w:fldChar w:fldCharType="end"/>
    </w:r>
  </w:p>
  <w:p w:rsidR="00302251" w:rsidRPr="00F65EF6" w:rsidRDefault="00302251" w:rsidP="00302251">
    <w:pPr>
      <w:pStyle w:val="ECHRHeader"/>
      <w:tabs>
        <w:tab w:val="left" w:pos="12758"/>
      </w:tabs>
      <w:jc w:val="center"/>
      <w:rPr>
        <w:rStyle w:val="Numeropagina"/>
        <w:lang w:val="fr-FR"/>
      </w:rPr>
    </w:pPr>
  </w:p>
  <w:p w:rsidR="00302251" w:rsidRPr="003F0E07" w:rsidRDefault="00302251" w:rsidP="00D8096D">
    <w:pPr>
      <w:pStyle w:val="ECHRHeader"/>
      <w:jc w:val="center"/>
      <w:rPr>
        <w:lang w:val="fr-F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0F" w:rsidRPr="00A45145" w:rsidRDefault="00127B0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CAA233A" wp14:editId="361633D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B0F" w:rsidRPr="007A6280" w:rsidRDefault="00127B0F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C4552F"/>
    <w:multiLevelType w:val="hybridMultilevel"/>
    <w:tmpl w:val="6AFE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EMM" w:val="0"/>
    <w:docVar w:name="NBEMMDOC" w:val="0"/>
  </w:docVars>
  <w:rsids>
    <w:rsidRoot w:val="003F0E0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27B0F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22E2F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378A"/>
    <w:rsid w:val="00244B0E"/>
    <w:rsid w:val="00244F6C"/>
    <w:rsid w:val="002456F2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251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0E07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2662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A6E4D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71101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49BE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0BA8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45FF7"/>
    <w:rsid w:val="00D566BD"/>
    <w:rsid w:val="00D57A4D"/>
    <w:rsid w:val="00D60AA7"/>
    <w:rsid w:val="00D6435F"/>
    <w:rsid w:val="00D75E28"/>
    <w:rsid w:val="00D772C2"/>
    <w:rsid w:val="00D8008E"/>
    <w:rsid w:val="00D8096D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27C41"/>
    <w:rsid w:val="00F32269"/>
    <w:rsid w:val="00F406D6"/>
    <w:rsid w:val="00F40988"/>
    <w:rsid w:val="00F56A6F"/>
    <w:rsid w:val="00F5709C"/>
    <w:rsid w:val="00F64EF1"/>
    <w:rsid w:val="00F65EF6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432B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127B0F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127B0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127B0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127B0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127B0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127B0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127B0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127B0F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127B0F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127B0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27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B0F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127B0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127B0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127B0F"/>
    <w:rPr>
      <w:color w:val="00B050"/>
    </w:rPr>
  </w:style>
  <w:style w:type="character" w:styleId="Enfasigrassetto">
    <w:name w:val="Strong"/>
    <w:uiPriority w:val="99"/>
    <w:semiHidden/>
    <w:qFormat/>
    <w:rsid w:val="00127B0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127B0F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127B0F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127B0F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127B0F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127B0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127B0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127B0F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127B0F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127B0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127B0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127B0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127B0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127B0F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127B0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127B0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127B0F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127B0F"/>
    <w:pPr>
      <w:ind w:left="794"/>
    </w:pPr>
  </w:style>
  <w:style w:type="character" w:customStyle="1" w:styleId="JUNAMES">
    <w:name w:val="JU_NAMES"/>
    <w:uiPriority w:val="17"/>
    <w:qFormat/>
    <w:rsid w:val="00127B0F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127B0F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127B0F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127B0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127B0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127B0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127B0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127B0F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127B0F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127B0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127B0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27B0F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127B0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127B0F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27B0F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127B0F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127B0F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27B0F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127B0F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27B0F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127B0F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127B0F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127B0F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127B0F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127B0F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127B0F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127B0F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127B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127B0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127B0F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127B0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27B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7B0F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27B0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27B0F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27B0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27B0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127B0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127B0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127B0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127B0F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127B0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127B0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127B0F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127B0F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127B0F"/>
    <w:rPr>
      <w:smallCaps/>
    </w:rPr>
  </w:style>
  <w:style w:type="table" w:styleId="Grigliatabella">
    <w:name w:val="Table Grid"/>
    <w:basedOn w:val="Tabellanormale"/>
    <w:uiPriority w:val="59"/>
    <w:semiHidden/>
    <w:rsid w:val="00127B0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127B0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127B0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127B0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127B0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127B0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127B0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127B0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127B0F"/>
  </w:style>
  <w:style w:type="paragraph" w:customStyle="1" w:styleId="OpiQuot">
    <w:name w:val="Opi_Quot"/>
    <w:basedOn w:val="ECHRParaQuote"/>
    <w:uiPriority w:val="48"/>
    <w:semiHidden/>
    <w:qFormat/>
    <w:rsid w:val="00127B0F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127B0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127B0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127B0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127B0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127B0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127B0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127B0F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127B0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127B0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127B0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127B0F"/>
  </w:style>
  <w:style w:type="paragraph" w:customStyle="1" w:styleId="ECHRFooter">
    <w:name w:val="ECHR_Footer"/>
    <w:aliases w:val="Footer_ECHR"/>
    <w:basedOn w:val="Pidipagina"/>
    <w:uiPriority w:val="57"/>
    <w:semiHidden/>
    <w:rsid w:val="00127B0F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127B0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127B0F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3F0E07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58EB-D66A-4767-8883-C53DD8506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9392F-4940-43EB-A782-50A27AF4D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A26DA-8849-497C-95E6-EF276BB43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EBB70-2C5D-4D2D-ABB5-6428FFF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2017-11-29T14:06:00Z</dcterms:created>
  <dcterms:modified xsi:type="dcterms:W3CDTF">2017-11-29T14:06:00Z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8740/09</vt:lpwstr>
  </property>
  <property fmtid="{D5CDD505-2E9C-101B-9397-08002B2CF9AE}" pid="4" name="CASEID">
    <vt:lpwstr>555239</vt:lpwstr>
  </property>
  <property fmtid="{D5CDD505-2E9C-101B-9397-08002B2CF9AE}" pid="5" name="ContentTypeId">
    <vt:lpwstr>0x010100558EB02BDB9E204AB350EDD385B68E10</vt:lpwstr>
  </property>
</Properties>
</file>